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00" w:lineRule="exact"/>
        <w:jc w:val="left"/>
        <w:outlineLvl w:val="2"/>
        <w:rPr>
          <w:rFonts w:ascii="宋体" w:hAnsi="宋体"/>
          <w:b/>
          <w:color w:val="auto"/>
          <w:sz w:val="24"/>
          <w:highlight w:val="none"/>
        </w:rPr>
      </w:pPr>
      <w:bookmarkStart w:id="0" w:name="_Toc196474973"/>
      <w:bookmarkStart w:id="1" w:name="_Toc204055781"/>
      <w:r>
        <w:rPr>
          <w:rFonts w:ascii="宋体" w:hAnsi="宋体"/>
          <w:b/>
          <w:color w:val="auto"/>
          <w:sz w:val="24"/>
          <w:highlight w:val="none"/>
        </w:rPr>
        <w:t>附件</w:t>
      </w:r>
      <w:r>
        <w:rPr>
          <w:rFonts w:hint="eastAsia" w:ascii="宋体" w:hAnsi="宋体"/>
          <w:b/>
          <w:color w:val="auto"/>
          <w:sz w:val="24"/>
          <w:highlight w:val="none"/>
        </w:rPr>
        <w:t>2：</w:t>
      </w:r>
      <w:bookmarkStart w:id="3" w:name="_GoBack"/>
      <w:r>
        <w:rPr>
          <w:rFonts w:hint="eastAsia" w:ascii="宋体" w:hAnsi="宋体"/>
          <w:b/>
          <w:color w:val="auto"/>
          <w:sz w:val="24"/>
          <w:highlight w:val="none"/>
        </w:rPr>
        <w:t>评标办法前附表</w:t>
      </w:r>
      <w:bookmarkEnd w:id="3"/>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评标办法前附表</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3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41"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334"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7089"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1"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34"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89" w:type="dxa"/>
            <w:noWrap w:val="0"/>
            <w:vAlign w:val="center"/>
          </w:tcPr>
          <w:p>
            <w:pPr>
              <w:spacing w:line="264" w:lineRule="auto"/>
              <w:ind w:firstLine="420" w:firstLineChars="200"/>
              <w:rPr>
                <w:rFonts w:hint="eastAsia" w:ascii="宋体" w:hAnsi="宋体"/>
                <w:color w:val="auto"/>
                <w:highlight w:val="none"/>
              </w:rPr>
            </w:pPr>
            <w:r>
              <w:rPr>
                <w:rFonts w:hint="eastAsia" w:ascii="宋体" w:hAnsi="宋体"/>
                <w:color w:val="auto"/>
                <w:highlight w:val="none"/>
              </w:rPr>
              <w:t>本次评标采用综合评估法。评标委员会对满足招标文件实质性要求的投标文件，按照本章第 2.2 款规定的评分标准进行打分，并按综合得分由高到低顺序推荐中标候选人。综合评分相等时，评标委员会依次按照以下优先顺序推荐中标候选人：</w:t>
            </w:r>
          </w:p>
          <w:p>
            <w:pPr>
              <w:numPr>
                <w:ilvl w:val="0"/>
                <w:numId w:val="1"/>
              </w:numPr>
              <w:snapToGrid w:val="0"/>
              <w:spacing w:line="288" w:lineRule="auto"/>
              <w:jc w:val="left"/>
              <w:rPr>
                <w:rFonts w:hint="eastAsia" w:ascii="宋体" w:hAnsi="宋体"/>
                <w:color w:val="auto"/>
                <w:szCs w:val="21"/>
                <w:highlight w:val="none"/>
              </w:rPr>
            </w:pPr>
            <w:r>
              <w:rPr>
                <w:rFonts w:hint="eastAsia" w:ascii="宋体" w:hAnsi="宋体"/>
                <w:color w:val="auto"/>
                <w:szCs w:val="21"/>
                <w:highlight w:val="none"/>
              </w:rPr>
              <w:t>评标价低的投标人优先；</w:t>
            </w:r>
          </w:p>
          <w:p>
            <w:pPr>
              <w:numPr>
                <w:ilvl w:val="0"/>
                <w:numId w:val="1"/>
              </w:numPr>
              <w:snapToGrid w:val="0"/>
              <w:spacing w:line="288"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技术建议书得分较高的优先；</w:t>
            </w:r>
          </w:p>
          <w:p>
            <w:pPr>
              <w:pStyle w:val="2"/>
              <w:rPr>
                <w:rFonts w:hint="eastAsia" w:ascii="宋体" w:hAnsi="宋体"/>
                <w:color w:val="auto"/>
                <w:highlight w:val="none"/>
              </w:rPr>
            </w:pPr>
            <w:r>
              <w:rPr>
                <w:rFonts w:hint="eastAsia" w:ascii="宋体" w:hAnsi="宋体"/>
                <w:color w:val="auto"/>
                <w:szCs w:val="21"/>
                <w:highlight w:val="none"/>
              </w:rPr>
              <w:t>（2）投标人满足资格审查条件(业绩最低要求)的业绩累计金额高的优先。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1" w:type="dxa"/>
            <w:noWrap w:val="0"/>
            <w:vAlign w:val="center"/>
          </w:tcPr>
          <w:p>
            <w:pPr>
              <w:spacing w:line="264" w:lineRule="auto"/>
              <w:jc w:val="center"/>
              <w:rPr>
                <w:rFonts w:ascii="宋体" w:hAnsi="宋体" w:cs="宋体"/>
                <w:color w:val="auto"/>
                <w:szCs w:val="21"/>
                <w:highlight w:val="none"/>
              </w:rPr>
            </w:pPr>
            <w:r>
              <w:rPr>
                <w:rFonts w:ascii="宋体" w:hAnsi="宋体" w:cs="宋体"/>
                <w:color w:val="auto"/>
                <w:szCs w:val="21"/>
                <w:highlight w:val="none"/>
              </w:rPr>
              <w:t>2.1.1</w:t>
            </w:r>
          </w:p>
          <w:p>
            <w:pPr>
              <w:spacing w:line="264" w:lineRule="auto"/>
              <w:jc w:val="center"/>
              <w:rPr>
                <w:rFonts w:ascii="宋体" w:hAnsi="宋体" w:cs="宋体"/>
                <w:color w:val="auto"/>
                <w:szCs w:val="21"/>
                <w:highlight w:val="none"/>
              </w:rPr>
            </w:pPr>
            <w:r>
              <w:rPr>
                <w:rFonts w:ascii="宋体" w:hAnsi="宋体" w:cs="宋体"/>
                <w:color w:val="auto"/>
                <w:szCs w:val="21"/>
                <w:highlight w:val="none"/>
              </w:rPr>
              <w:t>2.1.3</w:t>
            </w:r>
          </w:p>
        </w:tc>
        <w:tc>
          <w:tcPr>
            <w:tcW w:w="1334" w:type="dxa"/>
            <w:noWrap w:val="0"/>
            <w:vAlign w:val="center"/>
          </w:tcPr>
          <w:p>
            <w:pPr>
              <w:jc w:val="center"/>
              <w:textAlignment w:val="baseline"/>
              <w:rPr>
                <w:rFonts w:ascii="宋体" w:hAnsi="宋体"/>
                <w:color w:val="auto"/>
                <w:sz w:val="20"/>
                <w:szCs w:val="21"/>
                <w:highlight w:val="none"/>
              </w:rPr>
            </w:pPr>
            <w:r>
              <w:rPr>
                <w:rFonts w:hint="eastAsia" w:ascii="宋体" w:hAnsi="宋体"/>
                <w:color w:val="auto"/>
                <w:szCs w:val="21"/>
                <w:highlight w:val="none"/>
              </w:rPr>
              <w:t>形式评审与响应性评审标准</w:t>
            </w:r>
          </w:p>
        </w:tc>
        <w:tc>
          <w:tcPr>
            <w:tcW w:w="7089" w:type="dxa"/>
            <w:noWrap w:val="0"/>
            <w:vAlign w:val="top"/>
          </w:tcPr>
          <w:p>
            <w:pPr>
              <w:spacing w:line="276" w:lineRule="auto"/>
              <w:jc w:val="left"/>
              <w:textAlignment w:val="baseline"/>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第一个信封（商务文件）评审标准：</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投标文件按照招标文件规定的格式、内容填写，字迹清晰可辨。</w:t>
            </w:r>
          </w:p>
          <w:p>
            <w:pPr>
              <w:snapToGrid w:val="0"/>
              <w:spacing w:line="264" w:lineRule="auto"/>
              <w:textAlignment w:val="baseline"/>
              <w:rPr>
                <w:rFonts w:ascii="宋体" w:hAnsi="宋体" w:eastAsia="宋体"/>
                <w:color w:val="auto"/>
                <w:szCs w:val="21"/>
                <w:highlight w:val="none"/>
              </w:rPr>
            </w:pPr>
            <w:r>
              <w:rPr>
                <w:rFonts w:hint="eastAsia" w:ascii="宋体" w:hAnsi="宋体" w:eastAsia="宋体"/>
                <w:color w:val="auto"/>
                <w:szCs w:val="21"/>
                <w:highlight w:val="none"/>
              </w:rPr>
              <w:t>a．投标函按招标文件规定填报了项目名称、补遗书编号（如有）、</w:t>
            </w:r>
            <w:r>
              <w:rPr>
                <w:rFonts w:hint="eastAsia" w:ascii="宋体" w:hAnsi="宋体" w:eastAsia="宋体"/>
                <w:color w:val="auto"/>
                <w:szCs w:val="21"/>
                <w:highlight w:val="none"/>
                <w:lang w:eastAsia="zh-CN"/>
              </w:rPr>
              <w:t>总监理工程师</w:t>
            </w:r>
            <w:r>
              <w:rPr>
                <w:rFonts w:hint="eastAsia" w:ascii="宋体" w:hAnsi="宋体" w:eastAsia="宋体"/>
                <w:color w:val="auto"/>
                <w:szCs w:val="21"/>
                <w:highlight w:val="none"/>
              </w:rPr>
              <w:t>、质量要求、安全目标、监理服务期限相关信息；</w:t>
            </w:r>
          </w:p>
          <w:p>
            <w:pPr>
              <w:snapToGrid w:val="0"/>
              <w:spacing w:line="264" w:lineRule="auto"/>
              <w:textAlignment w:val="baseline"/>
              <w:rPr>
                <w:rFonts w:ascii="宋体" w:hAnsi="宋体" w:eastAsia="宋体"/>
                <w:color w:val="auto"/>
                <w:szCs w:val="21"/>
                <w:highlight w:val="none"/>
              </w:rPr>
            </w:pPr>
            <w:r>
              <w:rPr>
                <w:rFonts w:hint="eastAsia" w:ascii="宋体" w:hAnsi="宋体" w:eastAsia="宋体"/>
                <w:color w:val="auto"/>
                <w:szCs w:val="21"/>
                <w:highlight w:val="none"/>
              </w:rPr>
              <w:t>b．投标文件组成齐全完整，内容均按规定填写。</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投标文件上法定代表人或其授权代理人的签字、投标人的单位章盖章齐全，符合招标文件规定。</w:t>
            </w:r>
          </w:p>
          <w:p>
            <w:pPr>
              <w:snapToGrid w:val="0"/>
              <w:spacing w:line="264" w:lineRule="auto"/>
              <w:rPr>
                <w:rFonts w:ascii="宋体" w:hAnsi="宋体" w:eastAsia="宋体"/>
                <w:color w:val="auto"/>
                <w:szCs w:val="21"/>
                <w:highlight w:val="none"/>
              </w:rPr>
            </w:pPr>
            <w:r>
              <w:rPr>
                <w:rFonts w:hint="eastAsia" w:ascii="宋体" w:hAnsi="宋体" w:eastAsia="宋体"/>
                <w:color w:val="auto"/>
                <w:szCs w:val="21"/>
                <w:highlight w:val="none"/>
              </w:rPr>
              <w:t>（3）投标人法定代表人授权委托代理人签署投标文件的，须提交授权委托书；符合招标文件规定。</w:t>
            </w:r>
          </w:p>
          <w:p>
            <w:pPr>
              <w:snapToGrid w:val="0"/>
              <w:spacing w:line="264" w:lineRule="auto"/>
              <w:rPr>
                <w:rFonts w:ascii="宋体" w:hAnsi="宋体" w:eastAsia="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投标人法定代表人若亲自签署投标文件的，提供了法定代表人身份证明；符合招标文件规定。</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）投标人未对本项目提出分包计划。</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）同一投标人未对本项目提交两个以上不同的投标文件。</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bCs/>
                <w:color w:val="auto"/>
                <w:szCs w:val="21"/>
                <w:highlight w:val="none"/>
              </w:rPr>
              <w:t>投标文件第一个信封中未出现有关投标报价的内容。</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）投标文件载明的招标项目服务期限符合招标文件规定。</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）投标文件对招标文件的实质性要求和条件作出响应。</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）权利义务符合招标文件规定：</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a.投标人应接受招标文件规定的风险划分原则，未提出新的风险划分办法；</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b.投标人未增加发包人的责任范围，或减少投标人义务；</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c.投标人未提出不同的支付办法；</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d.投标人对合同纠纷、事故处理办法未提出异议；</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e.投标人在投标活动中无欺诈行为；</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f.投标人未对合同条款有重要保留。 </w:t>
            </w:r>
          </w:p>
          <w:p>
            <w:pPr>
              <w:spacing w:line="276" w:lineRule="auto"/>
              <w:jc w:val="left"/>
              <w:textAlignment w:val="baseline"/>
              <w:rPr>
                <w:rFonts w:hint="eastAsia" w:ascii="宋体" w:hAnsi="宋体" w:eastAsia="宋体" w:cs="宋体"/>
                <w:b/>
                <w:bCs/>
                <w:color w:val="auto"/>
                <w:sz w:val="20"/>
                <w:szCs w:val="21"/>
                <w:highlight w:val="none"/>
              </w:rPr>
            </w:pPr>
            <w:r>
              <w:rPr>
                <w:rFonts w:hint="eastAsia" w:ascii="宋体" w:hAnsi="宋体" w:eastAsia="宋体" w:cs="宋体"/>
                <w:b/>
                <w:bCs/>
                <w:color w:val="auto"/>
                <w:szCs w:val="21"/>
                <w:highlight w:val="none"/>
              </w:rPr>
              <w:t>第一个信封（技术文件）评审标准：</w:t>
            </w:r>
          </w:p>
          <w:p>
            <w:pPr>
              <w:spacing w:line="276" w:lineRule="auto"/>
              <w:jc w:val="left"/>
              <w:textAlignment w:val="baseline"/>
              <w:rPr>
                <w:rFonts w:hint="eastAsia" w:ascii="宋体" w:hAnsi="宋体" w:eastAsia="宋体"/>
                <w:color w:val="auto"/>
                <w:highlight w:val="none"/>
              </w:rPr>
            </w:pPr>
            <w:r>
              <w:rPr>
                <w:rFonts w:hint="eastAsia" w:ascii="宋体" w:hAnsi="宋体" w:eastAsia="宋体"/>
                <w:color w:val="auto"/>
                <w:highlight w:val="none"/>
              </w:rPr>
              <w:t>技术建议书（暗标）符合招标文件第二章“投标人须知”第10.2款的规定。</w:t>
            </w:r>
          </w:p>
          <w:p>
            <w:pPr>
              <w:spacing w:line="276" w:lineRule="auto"/>
              <w:jc w:val="left"/>
              <w:textAlignment w:val="baseline"/>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第二个信封（报价文件）评审标准：</w:t>
            </w:r>
          </w:p>
          <w:p>
            <w:pPr>
              <w:snapToGrid w:val="0"/>
              <w:spacing w:line="264" w:lineRule="auto"/>
              <w:jc w:val="left"/>
              <w:textAlignment w:val="baseline"/>
              <w:rPr>
                <w:rFonts w:ascii="宋体" w:hAnsi="宋体" w:eastAsia="宋体"/>
                <w:bCs/>
                <w:color w:val="auto"/>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w:t>
            </w:r>
            <w:r>
              <w:rPr>
                <w:rFonts w:hint="eastAsia" w:ascii="宋体" w:hAnsi="宋体" w:eastAsia="宋体"/>
                <w:bCs/>
                <w:color w:val="auto"/>
                <w:szCs w:val="21"/>
                <w:highlight w:val="none"/>
              </w:rPr>
              <w:t>投标文件按照招标文件规定的格式、内容填写，字迹清晰可辨。</w:t>
            </w:r>
          </w:p>
          <w:p>
            <w:pPr>
              <w:snapToGrid w:val="0"/>
              <w:spacing w:line="264" w:lineRule="auto"/>
              <w:ind w:firstLine="256" w:firstLineChars="122"/>
              <w:textAlignment w:val="baseline"/>
              <w:rPr>
                <w:rFonts w:ascii="宋体" w:hAnsi="宋体" w:eastAsia="宋体"/>
                <w:bCs/>
                <w:color w:val="auto"/>
                <w:szCs w:val="21"/>
                <w:highlight w:val="none"/>
              </w:rPr>
            </w:pPr>
            <w:r>
              <w:rPr>
                <w:rFonts w:hint="eastAsia" w:ascii="宋体" w:hAnsi="宋体" w:eastAsia="宋体"/>
                <w:bCs/>
                <w:color w:val="auto"/>
                <w:szCs w:val="21"/>
                <w:highlight w:val="none"/>
              </w:rPr>
              <w:t>a．投标函按招标文件规定填报了项目名称、补遗书编号（如有）</w:t>
            </w:r>
            <w:r>
              <w:rPr>
                <w:rFonts w:hint="eastAsia" w:ascii="宋体" w:hAnsi="宋体" w:eastAsia="宋体"/>
                <w:color w:val="auto"/>
                <w:szCs w:val="21"/>
                <w:highlight w:val="none"/>
              </w:rPr>
              <w:t>、</w:t>
            </w:r>
            <w:r>
              <w:rPr>
                <w:rFonts w:hint="eastAsia" w:ascii="宋体" w:hAnsi="宋体" w:eastAsia="宋体"/>
                <w:bCs/>
                <w:color w:val="auto"/>
                <w:szCs w:val="21"/>
                <w:highlight w:val="none"/>
              </w:rPr>
              <w:t>投标总报价（包括大写金额和小写金额）等；</w:t>
            </w:r>
          </w:p>
          <w:p>
            <w:pPr>
              <w:snapToGrid w:val="0"/>
              <w:spacing w:line="264" w:lineRule="auto"/>
              <w:ind w:firstLine="256" w:firstLineChars="122"/>
              <w:textAlignment w:val="baseline"/>
              <w:rPr>
                <w:rFonts w:ascii="宋体" w:hAnsi="宋体" w:eastAsia="宋体"/>
                <w:bCs/>
                <w:color w:val="auto"/>
                <w:szCs w:val="21"/>
                <w:highlight w:val="none"/>
              </w:rPr>
            </w:pPr>
            <w:r>
              <w:rPr>
                <w:rFonts w:hint="eastAsia" w:ascii="宋体" w:hAnsi="宋体" w:eastAsia="宋体"/>
                <w:bCs/>
                <w:color w:val="auto"/>
                <w:szCs w:val="21"/>
                <w:highlight w:val="none"/>
              </w:rPr>
              <w:t>b．报价清单说明文字与招标文件规定一致，未进行实质性修改和删减；</w:t>
            </w:r>
          </w:p>
          <w:p>
            <w:pPr>
              <w:snapToGrid w:val="0"/>
              <w:spacing w:line="264" w:lineRule="auto"/>
              <w:ind w:firstLine="256" w:firstLineChars="122"/>
              <w:textAlignment w:val="baseline"/>
              <w:rPr>
                <w:rFonts w:ascii="宋体" w:hAnsi="宋体" w:eastAsia="宋体"/>
                <w:bCs/>
                <w:color w:val="auto"/>
                <w:szCs w:val="21"/>
                <w:highlight w:val="none"/>
              </w:rPr>
            </w:pPr>
            <w:r>
              <w:rPr>
                <w:rFonts w:ascii="宋体" w:hAnsi="宋体" w:eastAsia="宋体"/>
                <w:bCs/>
                <w:color w:val="auto"/>
                <w:szCs w:val="21"/>
                <w:highlight w:val="none"/>
              </w:rPr>
              <w:t>c.</w:t>
            </w:r>
            <w:r>
              <w:rPr>
                <w:rFonts w:hint="eastAsia" w:ascii="宋体" w:hAnsi="宋体" w:eastAsia="宋体"/>
                <w:bCs/>
                <w:color w:val="auto"/>
                <w:szCs w:val="21"/>
                <w:highlight w:val="none"/>
              </w:rPr>
              <w:t>投标文件组成齐全完整，内容均按规定填写。</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投标文件上法定代表人或其授权代理人的签字、投标人的单位章盖章齐全，符合招标文件规定。</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bCs/>
                <w:color w:val="auto"/>
                <w:szCs w:val="21"/>
                <w:highlight w:val="none"/>
              </w:rPr>
              <w:t>（3）</w:t>
            </w:r>
            <w:r>
              <w:rPr>
                <w:rFonts w:hint="eastAsia" w:ascii="宋体" w:hAnsi="宋体" w:eastAsia="宋体" w:cs="宋体"/>
                <w:color w:val="auto"/>
                <w:kern w:val="0"/>
                <w:szCs w:val="21"/>
                <w:highlight w:val="none"/>
              </w:rPr>
              <w:t>投标报价未超过招标文件设定的最高投标限价。</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（4）投标报价的大写金额能够确定具体数值。</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（5）同一投标人未对本项目提交两个以上不同的投标报价。</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6）投标报价中</w:t>
            </w:r>
            <w:r>
              <w:rPr>
                <w:rFonts w:hint="eastAsia" w:ascii="宋体" w:hAnsi="宋体" w:eastAsia="宋体" w:cs="宋体"/>
                <w:color w:val="auto"/>
                <w:kern w:val="0"/>
                <w:szCs w:val="21"/>
                <w:highlight w:val="none"/>
                <w:lang w:eastAsia="zh-CN"/>
              </w:rPr>
              <w:t>验收</w:t>
            </w:r>
            <w:r>
              <w:rPr>
                <w:rFonts w:hint="eastAsia" w:ascii="宋体" w:hAnsi="宋体" w:eastAsia="宋体" w:cs="宋体"/>
                <w:color w:val="auto"/>
                <w:kern w:val="0"/>
                <w:szCs w:val="21"/>
                <w:highlight w:val="none"/>
              </w:rPr>
              <w:t>及缺陷责任期阶段监理服务费报价不低于监理服务总费用的</w:t>
            </w:r>
            <w:r>
              <w:rPr>
                <w:rFonts w:hint="eastAsia" w:ascii="宋体" w:hAnsi="宋体" w:eastAsia="宋体" w:cs="宋体"/>
                <w:color w:val="auto"/>
                <w:kern w:val="0"/>
                <w:szCs w:val="21"/>
                <w:highlight w:val="none"/>
                <w:lang w:val="en-US" w:eastAsia="zh-CN"/>
              </w:rPr>
              <w:t>10</w:t>
            </w:r>
            <w:r>
              <w:rPr>
                <w:rFonts w:ascii="宋体" w:hAnsi="宋体" w:eastAsia="宋体" w:cs="宋体"/>
                <w:color w:val="auto"/>
                <w:kern w:val="0"/>
                <w:szCs w:val="21"/>
                <w:highlight w:val="none"/>
              </w:rPr>
              <w:t>%。</w:t>
            </w:r>
          </w:p>
          <w:p>
            <w:pPr>
              <w:snapToGrid w:val="0"/>
              <w:spacing w:line="264" w:lineRule="auto"/>
              <w:jc w:val="left"/>
              <w:textAlignment w:val="baseline"/>
              <w:rPr>
                <w:rFonts w:ascii="宋体" w:hAnsi="宋体"/>
                <w:color w:val="auto"/>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rPr>
              <w:t>监理服务费用清单中的投标报价和投标函投标报价大写金额一致。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1"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334" w:type="dxa"/>
            <w:noWrap w:val="0"/>
            <w:vAlign w:val="center"/>
          </w:tcPr>
          <w:p>
            <w:pPr>
              <w:jc w:val="center"/>
              <w:textAlignment w:val="baseline"/>
              <w:rPr>
                <w:rFonts w:ascii="宋体" w:hAnsi="宋体"/>
                <w:color w:val="auto"/>
                <w:sz w:val="20"/>
                <w:szCs w:val="21"/>
                <w:highlight w:val="none"/>
              </w:rPr>
            </w:pPr>
            <w:r>
              <w:rPr>
                <w:rFonts w:hint="eastAsia" w:ascii="宋体" w:hAnsi="宋体"/>
                <w:color w:val="auto"/>
                <w:szCs w:val="21"/>
                <w:highlight w:val="none"/>
              </w:rPr>
              <w:t>资格评审标准</w:t>
            </w:r>
          </w:p>
        </w:tc>
        <w:tc>
          <w:tcPr>
            <w:tcW w:w="7089" w:type="dxa"/>
            <w:noWrap w:val="0"/>
            <w:vAlign w:val="center"/>
          </w:tcPr>
          <w:p>
            <w:pPr>
              <w:textAlignment w:val="baseline"/>
              <w:rPr>
                <w:rFonts w:ascii="宋体" w:hAnsi="宋体"/>
                <w:color w:val="auto"/>
                <w:sz w:val="20"/>
                <w:highlight w:val="none"/>
              </w:rPr>
            </w:pPr>
            <w:r>
              <w:rPr>
                <w:rFonts w:hint="eastAsia" w:ascii="宋体" w:hAnsi="宋体"/>
                <w:color w:val="auto"/>
                <w:highlight w:val="none"/>
              </w:rPr>
              <w:t>（1）独立投标人具备有效的营业执照、组织机构代码证（三证合一或五证合一的除外）、监理资质证书和</w:t>
            </w:r>
            <w:r>
              <w:rPr>
                <w:rFonts w:hint="eastAsia" w:ascii="宋体" w:hAnsi="宋体" w:cs="宋体"/>
                <w:color w:val="auto"/>
                <w:szCs w:val="21"/>
                <w:highlight w:val="none"/>
              </w:rPr>
              <w:t>基本账户开户许可证（或基本存款账户信息）</w:t>
            </w:r>
            <w:r>
              <w:rPr>
                <w:rFonts w:hint="eastAsia" w:ascii="宋体" w:hAnsi="宋体"/>
                <w:color w:val="auto"/>
                <w:highlight w:val="none"/>
              </w:rPr>
              <w:t>；</w:t>
            </w:r>
          </w:p>
          <w:p>
            <w:pPr>
              <w:textAlignment w:val="baseline"/>
              <w:rPr>
                <w:rFonts w:ascii="宋体" w:hAnsi="宋体"/>
                <w:color w:val="auto"/>
                <w:sz w:val="20"/>
                <w:highlight w:val="none"/>
              </w:rPr>
            </w:pPr>
            <w:r>
              <w:rPr>
                <w:rFonts w:hint="eastAsia" w:ascii="宋体" w:hAnsi="宋体"/>
                <w:color w:val="auto"/>
                <w:highlight w:val="none"/>
              </w:rPr>
              <w:t>（2）投标人的资质等级符合招标文件规定。</w:t>
            </w:r>
          </w:p>
          <w:p>
            <w:pPr>
              <w:textAlignment w:val="baseline"/>
              <w:rPr>
                <w:rFonts w:ascii="宋体" w:hAnsi="宋体"/>
                <w:color w:val="auto"/>
                <w:sz w:val="20"/>
                <w:highlight w:val="none"/>
              </w:rPr>
            </w:pPr>
            <w:r>
              <w:rPr>
                <w:rFonts w:hint="eastAsia" w:ascii="宋体" w:hAnsi="宋体"/>
                <w:color w:val="auto"/>
                <w:highlight w:val="none"/>
              </w:rPr>
              <w:t>（3）投标人的类似项目业绩符合招标文件的规定。</w:t>
            </w:r>
          </w:p>
          <w:p>
            <w:pPr>
              <w:textAlignment w:val="baseline"/>
              <w:rPr>
                <w:rFonts w:ascii="宋体" w:hAnsi="宋体"/>
                <w:color w:val="auto"/>
                <w:sz w:val="20"/>
                <w:highlight w:val="none"/>
              </w:rPr>
            </w:pPr>
            <w:r>
              <w:rPr>
                <w:rFonts w:hint="eastAsia" w:ascii="宋体" w:hAnsi="宋体"/>
                <w:color w:val="auto"/>
                <w:highlight w:val="none"/>
              </w:rPr>
              <w:t>（4）投标人的信誉符合招标文件规定。</w:t>
            </w:r>
          </w:p>
          <w:p>
            <w:pPr>
              <w:textAlignment w:val="baseline"/>
              <w:rPr>
                <w:rFonts w:ascii="宋体" w:hAnsi="宋体"/>
                <w:color w:val="auto"/>
                <w:sz w:val="20"/>
                <w:highlight w:val="none"/>
              </w:rPr>
            </w:pPr>
            <w:r>
              <w:rPr>
                <w:rFonts w:hint="eastAsia" w:ascii="宋体" w:hAnsi="宋体"/>
                <w:color w:val="auto"/>
                <w:highlight w:val="none"/>
              </w:rPr>
              <w:t>（5）投标人的总监理工程师资格符合招标文件规定。</w:t>
            </w:r>
          </w:p>
          <w:p>
            <w:pPr>
              <w:textAlignment w:val="baseline"/>
              <w:rPr>
                <w:rFonts w:ascii="宋体" w:hAnsi="宋体"/>
                <w:color w:val="auto"/>
                <w:sz w:val="20"/>
                <w:highlight w:val="none"/>
              </w:rPr>
            </w:pPr>
            <w:r>
              <w:rPr>
                <w:rFonts w:hint="eastAsia" w:ascii="宋体" w:hAnsi="宋体"/>
                <w:color w:val="auto"/>
                <w:highlight w:val="none"/>
              </w:rPr>
              <w:t>（6）投标人不存在第二章“投标人须知”第1.4.3项或1.4.4项规定的任何一种情形。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1"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334" w:type="dxa"/>
            <w:noWrap w:val="0"/>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分值构成（总分100分）</w:t>
            </w:r>
          </w:p>
        </w:tc>
        <w:tc>
          <w:tcPr>
            <w:tcW w:w="7089" w:type="dxa"/>
            <w:noWrap w:val="0"/>
            <w:vAlign w:val="center"/>
          </w:tcPr>
          <w:p>
            <w:pPr>
              <w:ind w:left="107"/>
              <w:jc w:val="left"/>
              <w:textAlignment w:val="baseline"/>
              <w:rPr>
                <w:rFonts w:ascii="宋体" w:hAnsi="宋体" w:eastAsia="宋体"/>
                <w:b/>
                <w:color w:val="auto"/>
                <w:kern w:val="0"/>
                <w:sz w:val="20"/>
                <w:szCs w:val="21"/>
                <w:highlight w:val="none"/>
              </w:rPr>
            </w:pPr>
            <w:r>
              <w:rPr>
                <w:rFonts w:hint="eastAsia" w:ascii="宋体" w:hAnsi="宋体" w:eastAsia="宋体"/>
                <w:b/>
                <w:color w:val="auto"/>
                <w:kern w:val="0"/>
                <w:szCs w:val="21"/>
                <w:highlight w:val="none"/>
              </w:rPr>
              <w:t>第一信封（商务及技术文件）评分分值构成：</w:t>
            </w:r>
          </w:p>
          <w:p>
            <w:pPr>
              <w:ind w:left="107"/>
              <w:jc w:val="left"/>
              <w:textAlignment w:val="baseline"/>
              <w:rPr>
                <w:rFonts w:ascii="宋体" w:hAnsi="宋体" w:eastAsia="宋体" w:cs="宋?"/>
                <w:color w:val="auto"/>
                <w:kern w:val="0"/>
                <w:sz w:val="20"/>
                <w:szCs w:val="21"/>
                <w:highlight w:val="none"/>
              </w:rPr>
            </w:pPr>
            <w:r>
              <w:rPr>
                <w:rFonts w:hint="eastAsia" w:ascii="宋体" w:hAnsi="宋体" w:eastAsia="宋体" w:cs="宋?"/>
                <w:color w:val="auto"/>
                <w:kern w:val="0"/>
                <w:szCs w:val="21"/>
                <w:highlight w:val="none"/>
              </w:rPr>
              <w:t>技术建议书：</w:t>
            </w:r>
            <w:r>
              <w:rPr>
                <w:rFonts w:ascii="宋体" w:hAnsi="宋体" w:eastAsia="宋体" w:cs="宋?"/>
                <w:color w:val="auto"/>
                <w:kern w:val="0"/>
                <w:szCs w:val="21"/>
                <w:highlight w:val="none"/>
              </w:rPr>
              <w:t>35</w:t>
            </w:r>
            <w:r>
              <w:rPr>
                <w:rFonts w:hint="eastAsia" w:ascii="宋体" w:hAnsi="宋体" w:eastAsia="宋体" w:cs="宋?"/>
                <w:color w:val="auto"/>
                <w:kern w:val="0"/>
                <w:szCs w:val="21"/>
                <w:highlight w:val="none"/>
              </w:rPr>
              <w:t>分</w:t>
            </w:r>
          </w:p>
          <w:p>
            <w:pPr>
              <w:ind w:left="107"/>
              <w:jc w:val="left"/>
              <w:textAlignment w:val="baseline"/>
              <w:rPr>
                <w:rFonts w:ascii="宋体" w:hAnsi="宋体" w:eastAsia="宋体"/>
                <w:color w:val="auto"/>
                <w:kern w:val="0"/>
                <w:sz w:val="20"/>
                <w:szCs w:val="21"/>
                <w:highlight w:val="none"/>
              </w:rPr>
            </w:pPr>
            <w:r>
              <w:rPr>
                <w:rFonts w:hint="eastAsia" w:ascii="宋体" w:hAnsi="宋体" w:eastAsia="宋体"/>
                <w:color w:val="auto"/>
                <w:kern w:val="0"/>
                <w:szCs w:val="21"/>
                <w:highlight w:val="none"/>
              </w:rPr>
              <w:t>主要人员：</w:t>
            </w:r>
            <w:r>
              <w:rPr>
                <w:rFonts w:ascii="宋体" w:hAnsi="宋体" w:eastAsia="宋体"/>
                <w:color w:val="auto"/>
                <w:kern w:val="0"/>
                <w:szCs w:val="21"/>
                <w:highlight w:val="none"/>
              </w:rPr>
              <w:t>30</w:t>
            </w:r>
            <w:r>
              <w:rPr>
                <w:rFonts w:hint="eastAsia" w:ascii="宋体" w:hAnsi="宋体" w:eastAsia="宋体"/>
                <w:color w:val="auto"/>
                <w:kern w:val="0"/>
                <w:szCs w:val="21"/>
                <w:highlight w:val="none"/>
              </w:rPr>
              <w:t>分</w:t>
            </w:r>
          </w:p>
          <w:p>
            <w:pPr>
              <w:ind w:left="107"/>
              <w:jc w:val="left"/>
              <w:textAlignment w:val="baseline"/>
              <w:rPr>
                <w:rFonts w:ascii="宋体" w:hAnsi="宋体" w:eastAsia="宋体"/>
                <w:color w:val="auto"/>
                <w:kern w:val="0"/>
                <w:sz w:val="20"/>
                <w:szCs w:val="21"/>
                <w:highlight w:val="none"/>
              </w:rPr>
            </w:pPr>
            <w:r>
              <w:rPr>
                <w:rFonts w:hint="eastAsia" w:ascii="宋体" w:hAnsi="宋体" w:eastAsia="宋体"/>
                <w:color w:val="auto"/>
                <w:kern w:val="0"/>
                <w:szCs w:val="21"/>
                <w:highlight w:val="none"/>
              </w:rPr>
              <w:t>业    绩：</w:t>
            </w:r>
            <w:r>
              <w:rPr>
                <w:rFonts w:ascii="宋体" w:hAnsi="宋体" w:eastAsia="宋体"/>
                <w:color w:val="auto"/>
                <w:kern w:val="0"/>
                <w:szCs w:val="21"/>
                <w:highlight w:val="none"/>
              </w:rPr>
              <w:t>25</w:t>
            </w:r>
            <w:r>
              <w:rPr>
                <w:rFonts w:hint="eastAsia" w:ascii="宋体" w:hAnsi="宋体" w:eastAsia="宋体"/>
                <w:color w:val="auto"/>
                <w:kern w:val="0"/>
                <w:szCs w:val="21"/>
                <w:highlight w:val="none"/>
              </w:rPr>
              <w:t>分</w:t>
            </w:r>
          </w:p>
          <w:p>
            <w:pPr>
              <w:ind w:left="107"/>
              <w:jc w:val="left"/>
              <w:textAlignment w:val="baseline"/>
              <w:rPr>
                <w:rFonts w:ascii="宋体" w:hAnsi="宋体" w:eastAsia="宋体"/>
                <w:b/>
                <w:color w:val="auto"/>
                <w:kern w:val="0"/>
                <w:sz w:val="20"/>
                <w:szCs w:val="21"/>
                <w:highlight w:val="none"/>
              </w:rPr>
            </w:pPr>
            <w:r>
              <w:rPr>
                <w:rFonts w:hint="eastAsia" w:ascii="宋体" w:hAnsi="宋体" w:eastAsia="宋体"/>
                <w:b/>
                <w:color w:val="auto"/>
                <w:kern w:val="0"/>
                <w:szCs w:val="21"/>
                <w:highlight w:val="none"/>
              </w:rPr>
              <w:t>第二信封（报价文件）评分分值构成：</w:t>
            </w:r>
          </w:p>
          <w:p>
            <w:pPr>
              <w:spacing w:line="264" w:lineRule="auto"/>
              <w:rPr>
                <w:rFonts w:ascii="宋体" w:hAnsi="宋体" w:cs="宋体"/>
                <w:color w:val="auto"/>
                <w:szCs w:val="21"/>
                <w:highlight w:val="none"/>
              </w:rPr>
            </w:pPr>
            <w:r>
              <w:rPr>
                <w:rFonts w:hint="eastAsia" w:ascii="宋体" w:hAnsi="宋体" w:eastAsia="宋体"/>
                <w:color w:val="auto"/>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noWrap w:val="0"/>
            <w:vAlign w:val="center"/>
          </w:tcPr>
          <w:p>
            <w:pPr>
              <w:spacing w:line="264" w:lineRule="auto"/>
              <w:jc w:val="center"/>
              <w:rPr>
                <w:rFonts w:ascii="宋体" w:hAnsi="宋体" w:cs="宋体"/>
                <w:color w:val="auto"/>
                <w:szCs w:val="21"/>
                <w:highlight w:val="none"/>
              </w:rPr>
            </w:pPr>
            <w:r>
              <w:rPr>
                <w:rFonts w:hint="eastAsia" w:ascii="宋体" w:hAnsi="宋体"/>
                <w:color w:val="auto"/>
                <w:szCs w:val="21"/>
                <w:highlight w:val="none"/>
              </w:rPr>
              <w:t>2.2.2</w:t>
            </w:r>
          </w:p>
        </w:tc>
        <w:tc>
          <w:tcPr>
            <w:tcW w:w="1334" w:type="dxa"/>
            <w:noWrap w:val="0"/>
            <w:vAlign w:val="center"/>
          </w:tcPr>
          <w:p>
            <w:pPr>
              <w:ind w:left="2" w:leftChars="0"/>
              <w:jc w:val="center"/>
              <w:textAlignment w:val="baseline"/>
              <w:rPr>
                <w:rFonts w:ascii="宋体" w:hAnsi="宋体" w:cs="宋体"/>
                <w:color w:val="auto"/>
                <w:szCs w:val="21"/>
                <w:highlight w:val="none"/>
              </w:rPr>
            </w:pPr>
            <w:r>
              <w:rPr>
                <w:rFonts w:hint="eastAsia" w:ascii="宋体" w:hAnsi="宋体" w:eastAsia="宋体"/>
                <w:color w:val="auto"/>
                <w:szCs w:val="21"/>
                <w:highlight w:val="none"/>
              </w:rPr>
              <w:t>评标基准价计算方法</w:t>
            </w:r>
          </w:p>
        </w:tc>
        <w:tc>
          <w:tcPr>
            <w:tcW w:w="7089" w:type="dxa"/>
            <w:noWrap w:val="0"/>
            <w:vAlign w:val="center"/>
          </w:tcPr>
          <w:p>
            <w:pPr>
              <w:spacing w:line="276" w:lineRule="auto"/>
              <w:textAlignment w:val="baseline"/>
              <w:rPr>
                <w:rFonts w:hint="eastAsia" w:ascii="宋体" w:hAnsi="宋体" w:eastAsia="宋体"/>
                <w:color w:val="auto"/>
                <w:highlight w:val="none"/>
              </w:rPr>
            </w:pPr>
            <w:r>
              <w:rPr>
                <w:rFonts w:hint="eastAsia" w:ascii="宋体" w:hAnsi="宋体" w:eastAsia="宋体"/>
                <w:color w:val="auto"/>
                <w:highlight w:val="none"/>
              </w:rPr>
              <w:t>所有通过第一个信封评审的投标文件，由评标委员会开启第二个信封，并当场计算并宣布评标基准价。</w:t>
            </w:r>
          </w:p>
          <w:p>
            <w:pPr>
              <w:spacing w:line="276" w:lineRule="auto"/>
              <w:textAlignment w:val="baseline"/>
              <w:rPr>
                <w:rFonts w:hint="eastAsia" w:ascii="宋体" w:hAnsi="宋体" w:eastAsia="宋体"/>
                <w:color w:val="auto"/>
                <w:highlight w:val="none"/>
              </w:rPr>
            </w:pPr>
            <w:r>
              <w:rPr>
                <w:rFonts w:hint="eastAsia" w:ascii="宋体" w:hAnsi="宋体" w:eastAsia="宋体"/>
                <w:color w:val="auto"/>
                <w:highlight w:val="none"/>
              </w:rPr>
              <w:t>（1）评标价的确定：评标价=投标函文字报价</w:t>
            </w:r>
          </w:p>
          <w:p>
            <w:pPr>
              <w:textAlignment w:val="baseline"/>
              <w:rPr>
                <w:rFonts w:hint="eastAsia" w:ascii="宋体" w:hAnsi="宋体"/>
                <w:color w:val="auto"/>
                <w:sz w:val="20"/>
                <w:highlight w:val="none"/>
              </w:rPr>
            </w:pPr>
            <w:r>
              <w:rPr>
                <w:rFonts w:hint="eastAsia" w:ascii="宋体" w:hAnsi="宋体" w:eastAsia="宋体"/>
                <w:color w:val="auto"/>
                <w:highlight w:val="none"/>
              </w:rPr>
              <w:t>（2）</w:t>
            </w:r>
            <w:r>
              <w:rPr>
                <w:rFonts w:hint="eastAsia" w:ascii="宋体" w:hAnsi="宋体"/>
                <w:color w:val="auto"/>
                <w:highlight w:val="none"/>
              </w:rPr>
              <w:t>评标价平均值的计算：</w:t>
            </w:r>
          </w:p>
          <w:p>
            <w:pPr>
              <w:keepNext w:val="0"/>
              <w:keepLines w:val="0"/>
              <w:pageBreakBefore w:val="0"/>
              <w:widowControl w:val="0"/>
              <w:kinsoku/>
              <w:wordWrap/>
              <w:overflowPunct/>
              <w:topLinePunct w:val="0"/>
              <w:autoSpaceDE/>
              <w:autoSpaceDN/>
              <w:bidi w:val="0"/>
              <w:spacing w:line="288" w:lineRule="auto"/>
              <w:ind w:firstLine="420" w:firstLineChars="200"/>
              <w:jc w:val="left"/>
              <w:rPr>
                <w:rFonts w:hint="eastAsia" w:ascii="宋体" w:hAnsi="宋体" w:eastAsia="宋体" w:cs="宋体"/>
                <w:color w:val="auto"/>
                <w:spacing w:val="-4"/>
                <w:szCs w:val="21"/>
                <w:highlight w:val="none"/>
                <w:lang w:eastAsia="zh-CN"/>
              </w:rPr>
            </w:pPr>
            <w:r>
              <w:rPr>
                <w:rFonts w:hint="eastAsia" w:ascii="宋体" w:hAnsi="宋体" w:eastAsia="宋体"/>
                <w:color w:val="auto"/>
                <w:highlight w:val="none"/>
              </w:rPr>
              <w:t>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r>
              <w:rPr>
                <w:rFonts w:hint="eastAsia" w:ascii="宋体" w:hAnsi="宋体" w:eastAsia="宋体" w:cs="宋体"/>
                <w:color w:val="auto"/>
                <w:spacing w:val="-4"/>
                <w:szCs w:val="21"/>
                <w:highlight w:val="none"/>
                <w:lang w:val="en-US" w:eastAsia="zh-CN"/>
              </w:rPr>
              <w:t>。</w:t>
            </w:r>
          </w:p>
          <w:p>
            <w:pPr>
              <w:textAlignment w:val="baseline"/>
              <w:rPr>
                <w:rFonts w:hint="eastAsia" w:ascii="宋体" w:hAnsi="宋体"/>
                <w:color w:val="auto"/>
                <w:sz w:val="20"/>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评标基准价的确定：</w:t>
            </w:r>
          </w:p>
          <w:p>
            <w:pPr>
              <w:ind w:firstLine="420" w:firstLineChars="200"/>
              <w:textAlignment w:val="baseline"/>
              <w:rPr>
                <w:rFonts w:hint="eastAsia" w:ascii="宋体" w:hAnsi="宋体"/>
                <w:color w:val="auto"/>
                <w:sz w:val="20"/>
                <w:highlight w:val="none"/>
              </w:rPr>
            </w:pPr>
            <w:r>
              <w:rPr>
                <w:rFonts w:hint="eastAsia" w:ascii="宋体" w:hAnsi="宋体"/>
                <w:color w:val="auto"/>
                <w:highlight w:val="none"/>
              </w:rPr>
              <w:t xml:space="preserve">将评标价平均值直接作为评标基准价（评标基准价保留两位小数，第三位四舍五入）。 </w:t>
            </w:r>
          </w:p>
          <w:p>
            <w:pPr>
              <w:ind w:firstLine="420" w:firstLineChars="200"/>
              <w:rPr>
                <w:rFonts w:ascii="宋体" w:hAnsi="宋体" w:cs="宋体"/>
                <w:color w:val="auto"/>
                <w:szCs w:val="21"/>
                <w:highlight w:val="none"/>
              </w:rPr>
            </w:pPr>
            <w:r>
              <w:rPr>
                <w:rFonts w:hint="eastAsia" w:ascii="宋体" w:hAnsi="宋体"/>
                <w:color w:val="auto"/>
                <w:highlight w:val="none"/>
              </w:rPr>
              <w:t>在评标过程中，评标委员会应对招标人计算的评标基准价进行复核，存在计算错误的应予以修正并在评标报告中作出说明。除此之外，评标基准价在整个评标期间保持不变，不随任何因素发生变化。当所有投标价都高于招标人最高投标限价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1" w:type="dxa"/>
            <w:noWrap w:val="0"/>
            <w:vAlign w:val="center"/>
          </w:tcPr>
          <w:p>
            <w:pPr>
              <w:spacing w:line="264" w:lineRule="auto"/>
              <w:jc w:val="center"/>
              <w:rPr>
                <w:rFonts w:ascii="宋体" w:hAnsi="宋体" w:cs="宋体"/>
                <w:color w:val="auto"/>
                <w:szCs w:val="21"/>
                <w:highlight w:val="none"/>
              </w:rPr>
            </w:pPr>
            <w:r>
              <w:rPr>
                <w:rFonts w:hint="eastAsia" w:ascii="宋体" w:hAnsi="宋体"/>
                <w:color w:val="auto"/>
                <w:szCs w:val="21"/>
                <w:highlight w:val="none"/>
              </w:rPr>
              <w:t>2.2.3</w:t>
            </w:r>
          </w:p>
        </w:tc>
        <w:tc>
          <w:tcPr>
            <w:tcW w:w="1334" w:type="dxa"/>
            <w:noWrap w:val="0"/>
            <w:vAlign w:val="center"/>
          </w:tcPr>
          <w:p>
            <w:pPr>
              <w:spacing w:line="264" w:lineRule="auto"/>
              <w:ind w:left="-189" w:leftChars="-90" w:right="-62"/>
              <w:jc w:val="center"/>
              <w:rPr>
                <w:rFonts w:ascii="宋体" w:hAnsi="宋体"/>
                <w:color w:val="auto"/>
                <w:szCs w:val="21"/>
                <w:highlight w:val="none"/>
              </w:rPr>
            </w:pPr>
            <w:r>
              <w:rPr>
                <w:rFonts w:hint="eastAsia" w:ascii="宋体" w:hAnsi="宋体"/>
                <w:color w:val="auto"/>
                <w:szCs w:val="21"/>
                <w:highlight w:val="none"/>
              </w:rPr>
              <w:t>评标价的偏差率计算公式</w:t>
            </w:r>
          </w:p>
        </w:tc>
        <w:tc>
          <w:tcPr>
            <w:tcW w:w="7089" w:type="dxa"/>
            <w:noWrap w:val="0"/>
            <w:vAlign w:val="center"/>
          </w:tcPr>
          <w:p>
            <w:pPr>
              <w:spacing w:line="380" w:lineRule="exact"/>
              <w:ind w:right="113" w:firstLine="426" w:firstLineChars="203"/>
              <w:contextualSpacing/>
              <w:rPr>
                <w:rFonts w:ascii="宋体" w:hAnsi="宋体"/>
                <w:color w:val="auto"/>
                <w:sz w:val="34"/>
                <w:szCs w:val="21"/>
                <w:highlight w:val="none"/>
              </w:rPr>
            </w:pPr>
            <w:r>
              <w:rPr>
                <w:rFonts w:hint="eastAsia" w:ascii="宋体" w:hAnsi="宋体"/>
                <w:color w:val="auto"/>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1" w:type="dxa"/>
            <w:noWrap w:val="0"/>
            <w:vAlign w:val="center"/>
          </w:tcPr>
          <w:p>
            <w:pPr>
              <w:spacing w:line="264" w:lineRule="auto"/>
              <w:jc w:val="center"/>
              <w:rPr>
                <w:rFonts w:hint="eastAsia" w:ascii="宋体" w:hAnsi="宋体" w:cs="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.6.1</w:t>
            </w:r>
          </w:p>
        </w:tc>
        <w:tc>
          <w:tcPr>
            <w:tcW w:w="1334" w:type="dxa"/>
            <w:noWrap w:val="0"/>
            <w:vAlign w:val="center"/>
          </w:tcPr>
          <w:p>
            <w:pPr>
              <w:spacing w:line="264" w:lineRule="auto"/>
              <w:ind w:left="-189" w:leftChars="-90" w:right="-109"/>
              <w:jc w:val="center"/>
              <w:rPr>
                <w:rFonts w:hint="eastAsia" w:ascii="宋体" w:hAnsi="宋体" w:cs="宋体"/>
                <w:color w:val="auto"/>
                <w:szCs w:val="21"/>
                <w:highlight w:val="none"/>
              </w:rPr>
            </w:pPr>
            <w:r>
              <w:rPr>
                <w:rFonts w:hint="eastAsia" w:ascii="宋体" w:hAnsi="宋体"/>
                <w:color w:val="auto"/>
                <w:szCs w:val="21"/>
                <w:highlight w:val="none"/>
              </w:rPr>
              <w:t>投标文件相关信息核查</w:t>
            </w:r>
          </w:p>
        </w:tc>
        <w:tc>
          <w:tcPr>
            <w:tcW w:w="7089" w:type="dxa"/>
            <w:noWrap w:val="0"/>
            <w:vAlign w:val="center"/>
          </w:tcPr>
          <w:p>
            <w:pPr>
              <w:adjustRightInd w:val="0"/>
              <w:snapToGrid w:val="0"/>
              <w:spacing w:line="300" w:lineRule="exact"/>
              <w:rPr>
                <w:rFonts w:ascii="宋体" w:hAnsi="宋体"/>
                <w:color w:val="auto"/>
                <w:highlight w:val="none"/>
              </w:rPr>
            </w:pPr>
            <w:r>
              <w:rPr>
                <w:rFonts w:hint="eastAsia" w:ascii="宋体" w:hAnsi="宋体"/>
                <w:color w:val="auto"/>
                <w:highlight w:val="none"/>
              </w:rPr>
              <w:t>在评标过程中，评标委员会应对以下信息进行查询：</w:t>
            </w:r>
          </w:p>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lang w:eastAsia="zh-CN"/>
              </w:rPr>
              <w:t>投标人</w:t>
            </w:r>
            <w:r>
              <w:rPr>
                <w:rFonts w:hint="eastAsia" w:ascii="宋体" w:hAnsi="宋体" w:eastAsia="宋体"/>
                <w:color w:val="auto"/>
                <w:highlight w:val="none"/>
              </w:rPr>
              <w:t>信用情况网页截图内容与在“国家企业信用信息公示系统”中严重违法失信名单（黑名单）信息（不含分公司）</w:t>
            </w:r>
            <w:r>
              <w:rPr>
                <w:rFonts w:hint="default" w:ascii="宋体" w:hAnsi="宋体" w:eastAsia="宋体"/>
                <w:color w:val="auto"/>
                <w:highlight w:val="none"/>
              </w:rPr>
              <w:t>，</w:t>
            </w:r>
            <w:r>
              <w:rPr>
                <w:rFonts w:hint="eastAsia" w:ascii="宋体" w:hAnsi="宋体" w:cs="宋体"/>
                <w:color w:val="auto"/>
                <w:highlight w:val="none"/>
              </w:rPr>
              <w:t>在“信用中国”网站“被列入</w:t>
            </w:r>
            <w:r>
              <w:rPr>
                <w:rFonts w:hint="eastAsia" w:ascii="宋体" w:hAnsi="宋体" w:cs="宋体"/>
                <w:color w:val="auto"/>
                <w:highlight w:val="none"/>
                <w:lang w:eastAsia="zh-CN"/>
              </w:rPr>
              <w:t>失信被执行人名单、经营（活动）异常名录、重大税收违法失信主体名单、政府采购严重违法失信行为记录名单、安全生产严重失信主体名单</w:t>
            </w:r>
            <w:r>
              <w:rPr>
                <w:rFonts w:hint="eastAsia" w:ascii="宋体" w:hAnsi="宋体" w:cs="宋体"/>
                <w:color w:val="auto"/>
                <w:highlight w:val="none"/>
              </w:rPr>
              <w:t>”</w:t>
            </w:r>
            <w:r>
              <w:rPr>
                <w:rFonts w:hint="eastAsia" w:ascii="宋体" w:hAnsi="宋体" w:eastAsia="宋体"/>
                <w:color w:val="auto"/>
                <w:highlight w:val="none"/>
              </w:rPr>
              <w:t>的复核结果一致。</w:t>
            </w:r>
          </w:p>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如投标人未提供相关网页截图或所附截图与复核结果不一致导致其不满足资格条件，评标委员会应按照其不满足资格条件否决其投标。</w:t>
            </w:r>
          </w:p>
          <w:p>
            <w:pPr>
              <w:spacing w:line="360" w:lineRule="exact"/>
              <w:ind w:firstLine="420" w:firstLineChars="200"/>
              <w:rPr>
                <w:rFonts w:hint="eastAsia" w:ascii="宋体" w:hAnsi="宋体"/>
                <w:color w:val="auto"/>
                <w:szCs w:val="21"/>
                <w:highlight w:val="none"/>
              </w:rPr>
            </w:pPr>
            <w:r>
              <w:rPr>
                <w:rFonts w:hint="eastAsia" w:ascii="宋体" w:hAnsi="宋体" w:eastAsia="宋体"/>
                <w:color w:val="auto"/>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3"/>
            <w:noWrap w:val="0"/>
            <w:vAlign w:val="center"/>
          </w:tcPr>
          <w:p>
            <w:pPr>
              <w:spacing w:line="264" w:lineRule="auto"/>
              <w:rPr>
                <w:rFonts w:ascii="宋体" w:hAnsi="宋体" w:cs="宋体"/>
                <w:color w:val="auto"/>
                <w:szCs w:val="21"/>
                <w:highlight w:val="none"/>
              </w:rPr>
            </w:pPr>
            <w:r>
              <w:rPr>
                <w:rFonts w:hint="eastAsia" w:ascii="宋体" w:hAnsi="宋体" w:cs="宋体"/>
                <w:color w:val="auto"/>
                <w:szCs w:val="21"/>
                <w:highlight w:val="none"/>
              </w:rPr>
              <w:t>需要补充的其他内容：无</w:t>
            </w:r>
          </w:p>
        </w:tc>
      </w:tr>
    </w:tbl>
    <w:p>
      <w:pPr>
        <w:pStyle w:val="3"/>
        <w:spacing w:line="360" w:lineRule="auto"/>
        <w:rPr>
          <w:rFonts w:hint="eastAsia" w:hAnsi="宋体"/>
          <w:color w:val="auto"/>
          <w:sz w:val="24"/>
          <w:highlight w:val="none"/>
        </w:rPr>
      </w:pPr>
    </w:p>
    <w:p>
      <w:pPr>
        <w:pStyle w:val="3"/>
        <w:spacing w:line="360" w:lineRule="auto"/>
        <w:rPr>
          <w:rFonts w:hint="eastAsia" w:hAnsi="宋体"/>
          <w:color w:val="auto"/>
          <w:sz w:val="24"/>
          <w:highlight w:val="none"/>
        </w:rPr>
      </w:pPr>
      <w:r>
        <w:rPr>
          <w:rFonts w:hint="eastAsia" w:hAnsi="宋体"/>
          <w:color w:val="auto"/>
          <w:sz w:val="24"/>
          <w:highlight w:val="none"/>
        </w:rPr>
        <w:t>具体评分标准如下：</w:t>
      </w:r>
    </w:p>
    <w:tbl>
      <w:tblPr>
        <w:tblStyle w:val="7"/>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51"/>
        <w:gridCol w:w="1276"/>
        <w:gridCol w:w="607"/>
        <w:gridCol w:w="1418"/>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30" w:type="dxa"/>
            <w:gridSpan w:val="5"/>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szCs w:val="20"/>
                <w:highlight w:val="none"/>
              </w:rPr>
            </w:pPr>
            <w:r>
              <w:rPr>
                <w:rFonts w:hint="eastAsia" w:ascii="宋体" w:hAnsi="宋体" w:eastAsia="宋体"/>
                <w:color w:val="auto"/>
                <w:highlight w:val="none"/>
              </w:rPr>
              <w:t>评分因素与权重分值</w:t>
            </w:r>
          </w:p>
        </w:tc>
        <w:tc>
          <w:tcPr>
            <w:tcW w:w="519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条款号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评分因素</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left="-40" w:leftChars="-19" w:firstLine="1"/>
              <w:jc w:val="center"/>
              <w:textAlignment w:val="baseline"/>
              <w:rPr>
                <w:rFonts w:ascii="宋体" w:hAnsi="宋体" w:eastAsia="宋体"/>
                <w:color w:val="auto"/>
                <w:highlight w:val="none"/>
              </w:rPr>
            </w:pPr>
            <w:r>
              <w:rPr>
                <w:rFonts w:hint="eastAsia" w:ascii="宋体" w:hAnsi="宋体" w:eastAsia="宋体"/>
                <w:color w:val="auto"/>
                <w:highlight w:val="none"/>
              </w:rPr>
              <w:t>评分因素权重分值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Style w:val="9"/>
                <w:rFonts w:hint="default" w:ascii="宋体" w:hAnsi="宋体" w:eastAsia="宋体"/>
                <w:color w:val="auto"/>
                <w:highlight w:val="none"/>
              </w:rPr>
              <w:t>各评分因素细分项</w:t>
            </w:r>
          </w:p>
        </w:tc>
        <w:tc>
          <w:tcPr>
            <w:tcW w:w="607"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leftChars="-50" w:right="-107" w:rightChars="-51" w:hanging="105" w:hangingChars="50"/>
              <w:jc w:val="center"/>
              <w:textAlignment w:val="baseline"/>
              <w:rPr>
                <w:rFonts w:ascii="宋体" w:hAnsi="宋体" w:eastAsia="宋体"/>
                <w:color w:val="auto"/>
                <w:highlight w:val="none"/>
              </w:rPr>
            </w:pPr>
            <w:r>
              <w:rPr>
                <w:rFonts w:hint="eastAsia" w:ascii="宋体" w:hAnsi="宋体" w:eastAsia="宋体"/>
                <w:color w:val="auto"/>
                <w:highlight w:val="none"/>
              </w:rPr>
              <w:t>分值</w:t>
            </w:r>
          </w:p>
        </w:tc>
        <w:tc>
          <w:tcPr>
            <w:tcW w:w="51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2.2.4（1）</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技术建议书</w:t>
            </w:r>
          </w:p>
          <w:p>
            <w:pPr>
              <w:pStyle w:val="3"/>
              <w:spacing w:line="160" w:lineRule="atLeast"/>
              <w:ind w:left="-42" w:leftChars="-95" w:right="-206" w:rightChars="-98" w:hanging="157" w:hangingChars="75"/>
              <w:jc w:val="center"/>
              <w:textAlignment w:val="baseline"/>
              <w:rPr>
                <w:rFonts w:ascii="宋体" w:hAnsi="宋体" w:eastAsia="宋体"/>
                <w:color w:val="auto"/>
                <w:highlight w:val="none"/>
              </w:rPr>
            </w:pPr>
            <w:r>
              <w:rPr>
                <w:rFonts w:hint="eastAsia" w:ascii="宋体" w:hAnsi="宋体" w:eastAsia="宋体"/>
                <w:color w:val="auto"/>
                <w:highlight w:val="none"/>
              </w:rPr>
              <w:t>（暗标）</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ascii="宋体" w:hAnsi="宋体" w:eastAsia="宋体"/>
                <w:color w:val="auto"/>
                <w:highlight w:val="none"/>
              </w:rPr>
              <w:t>35</w:t>
            </w:r>
            <w:r>
              <w:rPr>
                <w:rFonts w:hint="eastAsia" w:ascii="宋体" w:hAnsi="宋体" w:eastAsia="宋体"/>
                <w:color w:val="auto"/>
                <w:highlight w:val="none"/>
              </w:rPr>
              <w:t>分</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监理大纲和措施</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left="92" w:leftChars="-20" w:right="-42" w:rightChars="-20" w:hanging="134" w:hangingChars="64"/>
              <w:jc w:val="center"/>
              <w:textAlignment w:val="baseline"/>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0</w:t>
            </w:r>
            <w:r>
              <w:rPr>
                <w:rFonts w:hint="eastAsia" w:ascii="宋体" w:hAnsi="宋体" w:eastAsia="宋体"/>
                <w:color w:val="auto"/>
                <w:highlight w:val="none"/>
              </w:rPr>
              <w:t>分</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对本招标项目监理工作范围和任务理解(</w:t>
            </w:r>
            <w:r>
              <w:rPr>
                <w:rFonts w:ascii="宋体" w:hAnsi="宋体" w:eastAsia="宋体"/>
                <w:color w:val="auto"/>
                <w:highlight w:val="none"/>
              </w:rPr>
              <w:t>4</w:t>
            </w:r>
            <w:r>
              <w:rPr>
                <w:rFonts w:hint="eastAsia" w:ascii="宋体" w:hAnsi="宋体" w:eastAsia="宋体"/>
                <w:color w:val="auto"/>
                <w:highlight w:val="none"/>
              </w:rPr>
              <w:t>分)</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理解准确，思路清晰，全面、合理，符合项目要求，得</w:t>
            </w:r>
            <w:r>
              <w:rPr>
                <w:rFonts w:ascii="宋体" w:hAnsi="宋体" w:eastAsia="宋体"/>
                <w:color w:val="auto"/>
                <w:highlight w:val="none"/>
              </w:rPr>
              <w:t>3.2</w:t>
            </w:r>
            <w:r>
              <w:rPr>
                <w:rFonts w:hint="eastAsia" w:ascii="宋体" w:hAnsi="宋体" w:eastAsia="宋体"/>
                <w:color w:val="auto"/>
                <w:highlight w:val="none"/>
              </w:rPr>
              <w:t>-</w:t>
            </w:r>
            <w:r>
              <w:rPr>
                <w:rFonts w:ascii="宋体" w:hAnsi="宋体" w:eastAsia="宋体"/>
                <w:color w:val="auto"/>
                <w:highlight w:val="none"/>
              </w:rPr>
              <w:t>4.0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理解较准确，思路较清晰，得</w:t>
            </w:r>
            <w:r>
              <w:rPr>
                <w:rFonts w:ascii="宋体" w:hAnsi="宋体" w:eastAsia="宋体"/>
                <w:color w:val="auto"/>
                <w:highlight w:val="none"/>
              </w:rPr>
              <w:t>2.4</w:t>
            </w:r>
            <w:r>
              <w:rPr>
                <w:rFonts w:hint="eastAsia" w:ascii="宋体" w:hAnsi="宋体" w:eastAsia="宋体"/>
                <w:color w:val="auto"/>
                <w:highlight w:val="none"/>
              </w:rPr>
              <w:t>-</w:t>
            </w:r>
            <w:r>
              <w:rPr>
                <w:rFonts w:ascii="宋体" w:hAnsi="宋体" w:eastAsia="宋体"/>
                <w:color w:val="auto"/>
                <w:highlight w:val="none"/>
              </w:rPr>
              <w:t>3.2</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理解基本准确，得</w:t>
            </w:r>
            <w:r>
              <w:rPr>
                <w:rFonts w:ascii="宋体" w:hAnsi="宋体" w:eastAsia="宋体"/>
                <w:color w:val="auto"/>
                <w:highlight w:val="none"/>
              </w:rPr>
              <w:t>2.4</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监理方案及措施</w:t>
            </w:r>
          </w:p>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（8分）</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方案详尽，措施具体全面合理，可行性强，得6.4-</w:t>
            </w:r>
            <w:r>
              <w:rPr>
                <w:rFonts w:ascii="宋体" w:hAnsi="宋体" w:eastAsia="宋体"/>
                <w:color w:val="auto"/>
                <w:highlight w:val="none"/>
              </w:rPr>
              <w:t>8.0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方案较详尽，措施合理，可行性较好，得</w:t>
            </w:r>
            <w:r>
              <w:rPr>
                <w:rFonts w:ascii="宋体" w:hAnsi="宋体" w:eastAsia="宋体"/>
                <w:color w:val="auto"/>
                <w:highlight w:val="none"/>
              </w:rPr>
              <w:t>4.8</w:t>
            </w:r>
            <w:r>
              <w:rPr>
                <w:rFonts w:hint="eastAsia" w:ascii="宋体" w:hAnsi="宋体" w:eastAsia="宋体"/>
                <w:color w:val="auto"/>
                <w:highlight w:val="none"/>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方案一般，措施基本全面，可行性一般，得4.8分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right="-57" w:rightChars="-27"/>
              <w:jc w:val="center"/>
              <w:textAlignment w:val="baseline"/>
              <w:rPr>
                <w:rFonts w:ascii="宋体" w:hAnsi="宋体" w:eastAsia="宋体"/>
                <w:color w:val="auto"/>
                <w:highlight w:val="none"/>
              </w:rPr>
            </w:pPr>
            <w:r>
              <w:rPr>
                <w:rFonts w:hint="eastAsia" w:ascii="宋体" w:hAnsi="宋体" w:eastAsia="宋体"/>
                <w:color w:val="auto"/>
                <w:highlight w:val="none"/>
              </w:rPr>
              <w:t>监理工作程序(8分)</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内容齐全，阶段划分合理、正确，可实施性强，得6.4-</w:t>
            </w:r>
            <w:r>
              <w:rPr>
                <w:rFonts w:ascii="宋体" w:hAnsi="宋体" w:eastAsia="宋体"/>
                <w:color w:val="auto"/>
                <w:highlight w:val="none"/>
              </w:rPr>
              <w:t>8.0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内容较齐全，阶段划分较合理，可实施性较好，得</w:t>
            </w:r>
            <w:r>
              <w:rPr>
                <w:rFonts w:ascii="宋体" w:hAnsi="宋体" w:eastAsia="宋体"/>
                <w:color w:val="auto"/>
                <w:highlight w:val="none"/>
              </w:rPr>
              <w:t>4.8</w:t>
            </w:r>
            <w:r>
              <w:rPr>
                <w:rFonts w:hint="eastAsia" w:ascii="宋体" w:hAnsi="宋体" w:eastAsia="宋体"/>
                <w:color w:val="auto"/>
                <w:highlight w:val="none"/>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内容基本齐全，阶段划分基本合理，可实施性一般，得4.8分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本工程监理工作的重点与难点分析</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left="92" w:leftChars="-20" w:right="-42" w:rightChars="-20" w:hanging="134" w:hangingChars="64"/>
              <w:textAlignment w:val="baseline"/>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0</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分析透彻，对难点、重点把握准确；处理措施科学合理，有效可行，得</w:t>
            </w:r>
            <w:r>
              <w:rPr>
                <w:rFonts w:ascii="宋体" w:hAnsi="宋体" w:eastAsia="宋体"/>
                <w:color w:val="auto"/>
                <w:highlight w:val="none"/>
              </w:rPr>
              <w:t>8.0</w:t>
            </w:r>
            <w:r>
              <w:rPr>
                <w:rFonts w:hint="eastAsia" w:ascii="宋体" w:hAnsi="宋体" w:eastAsia="宋体"/>
                <w:color w:val="auto"/>
                <w:highlight w:val="none"/>
              </w:rPr>
              <w:t>-1</w:t>
            </w:r>
            <w:r>
              <w:rPr>
                <w:rFonts w:ascii="宋体" w:hAnsi="宋体" w:eastAsia="宋体"/>
                <w:color w:val="auto"/>
                <w:highlight w:val="none"/>
              </w:rPr>
              <w:t>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分析较透彻，对难点、重点把握较准确；处理措施合理，可行，得</w:t>
            </w:r>
            <w:r>
              <w:rPr>
                <w:rFonts w:ascii="宋体" w:hAnsi="宋体" w:eastAsia="宋体"/>
                <w:color w:val="auto"/>
                <w:highlight w:val="none"/>
              </w:rPr>
              <w:t>6.0</w:t>
            </w:r>
            <w:r>
              <w:rPr>
                <w:rFonts w:hint="eastAsia" w:ascii="宋体" w:hAnsi="宋体" w:eastAsia="宋体"/>
                <w:color w:val="auto"/>
                <w:highlight w:val="none"/>
              </w:rPr>
              <w:t>-</w:t>
            </w:r>
            <w:r>
              <w:rPr>
                <w:rFonts w:ascii="宋体" w:hAnsi="宋体" w:eastAsia="宋体"/>
                <w:color w:val="auto"/>
                <w:highlight w:val="none"/>
              </w:rPr>
              <w:t>8.0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分析一般，对难点、重点把握一般；处理措施基本合理，基本可行，得</w:t>
            </w:r>
            <w:r>
              <w:rPr>
                <w:rFonts w:ascii="宋体" w:hAnsi="宋体" w:eastAsia="宋体"/>
                <w:color w:val="auto"/>
                <w:highlight w:val="none"/>
              </w:rPr>
              <w:t>6.0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对本工程的建议</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left="-42" w:leftChars="-20" w:right="-42" w:rightChars="-20"/>
              <w:jc w:val="center"/>
              <w:textAlignment w:val="baseline"/>
              <w:rPr>
                <w:rFonts w:ascii="宋体" w:hAnsi="宋体" w:eastAsia="宋体"/>
                <w:color w:val="auto"/>
                <w:highlight w:val="none"/>
              </w:rPr>
            </w:pPr>
            <w:r>
              <w:rPr>
                <w:rFonts w:ascii="宋体" w:hAnsi="宋体" w:eastAsia="宋体"/>
                <w:color w:val="auto"/>
                <w:highlight w:val="none"/>
              </w:rPr>
              <w:t>5</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建议措施具体全面、可靠、合理，可实施性强，4.</w:t>
            </w:r>
            <w:r>
              <w:rPr>
                <w:rFonts w:ascii="宋体" w:hAnsi="宋体" w:eastAsia="宋体"/>
                <w:color w:val="auto"/>
                <w:highlight w:val="none"/>
              </w:rPr>
              <w:t>0</w:t>
            </w:r>
            <w:r>
              <w:rPr>
                <w:rFonts w:hint="eastAsia" w:ascii="宋体" w:hAnsi="宋体" w:eastAsia="宋体"/>
                <w:color w:val="auto"/>
                <w:highlight w:val="none"/>
              </w:rPr>
              <w:t>-</w:t>
            </w:r>
            <w:r>
              <w:rPr>
                <w:rFonts w:ascii="宋体" w:hAnsi="宋体" w:eastAsia="宋体"/>
                <w:color w:val="auto"/>
                <w:highlight w:val="none"/>
              </w:rPr>
              <w:t>5.0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建议措施全面、合理，可实施性较好，得</w:t>
            </w:r>
            <w:r>
              <w:rPr>
                <w:rFonts w:ascii="宋体" w:hAnsi="宋体" w:eastAsia="宋体"/>
                <w:color w:val="auto"/>
                <w:highlight w:val="none"/>
              </w:rPr>
              <w:t>3.0</w:t>
            </w:r>
            <w:r>
              <w:rPr>
                <w:rFonts w:hint="eastAsia" w:ascii="宋体" w:hAnsi="宋体" w:eastAsia="宋体"/>
                <w:color w:val="auto"/>
                <w:highlight w:val="none"/>
              </w:rPr>
              <w:t>-4.</w:t>
            </w:r>
            <w:r>
              <w:rPr>
                <w:rFonts w:ascii="宋体" w:hAnsi="宋体" w:eastAsia="宋体"/>
                <w:color w:val="auto"/>
                <w:highlight w:val="none"/>
              </w:rPr>
              <w:t>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建议措施基本全面、合理，可实施性一般，得</w:t>
            </w:r>
            <w:r>
              <w:rPr>
                <w:rFonts w:ascii="宋体" w:hAnsi="宋体" w:eastAsia="宋体"/>
                <w:color w:val="auto"/>
                <w:highlight w:val="none"/>
              </w:rPr>
              <w:t>3.0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6" w:type="dxa"/>
            <w:vMerge w:val="restart"/>
            <w:tcBorders>
              <w:top w:val="nil"/>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2.2.4（2）</w:t>
            </w:r>
          </w:p>
        </w:tc>
        <w:tc>
          <w:tcPr>
            <w:tcW w:w="850" w:type="dxa"/>
            <w:vMerge w:val="restart"/>
            <w:tcBorders>
              <w:top w:val="nil"/>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主要人员</w:t>
            </w:r>
          </w:p>
        </w:tc>
        <w:tc>
          <w:tcPr>
            <w:tcW w:w="851" w:type="dxa"/>
            <w:vMerge w:val="restart"/>
            <w:tcBorders>
              <w:top w:val="nil"/>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ascii="宋体" w:hAnsi="宋体" w:eastAsia="宋体"/>
                <w:color w:val="auto"/>
                <w:highlight w:val="none"/>
              </w:rPr>
              <w:t>30</w:t>
            </w:r>
            <w:r>
              <w:rPr>
                <w:rFonts w:hint="eastAsia" w:ascii="宋体" w:hAnsi="宋体" w:eastAsia="宋体"/>
                <w:color w:val="auto"/>
                <w:highlight w:val="none"/>
              </w:rPr>
              <w:t>分</w:t>
            </w:r>
          </w:p>
        </w:tc>
        <w:tc>
          <w:tcPr>
            <w:tcW w:w="1276" w:type="dxa"/>
            <w:vMerge w:val="restart"/>
            <w:tcBorders>
              <w:top w:val="single" w:color="auto" w:sz="4" w:space="0"/>
              <w:left w:val="single" w:color="auto" w:sz="4" w:space="0"/>
              <w:right w:val="single" w:color="auto" w:sz="4" w:space="0"/>
            </w:tcBorders>
            <w:noWrap w:val="0"/>
            <w:vAlign w:val="center"/>
          </w:tcPr>
          <w:p>
            <w:pPr>
              <w:pStyle w:val="3"/>
              <w:spacing w:line="160" w:lineRule="atLeast"/>
              <w:jc w:val="center"/>
              <w:textAlignment w:val="baseline"/>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总</w:t>
            </w:r>
            <w:r>
              <w:rPr>
                <w:rFonts w:hint="eastAsia" w:ascii="宋体" w:hAnsi="宋体" w:eastAsia="宋体"/>
                <w:color w:val="auto"/>
                <w:highlight w:val="none"/>
                <w:lang w:eastAsia="zh-CN"/>
              </w:rPr>
              <w:t>监理工程师</w:t>
            </w:r>
          </w:p>
        </w:tc>
        <w:tc>
          <w:tcPr>
            <w:tcW w:w="607" w:type="dxa"/>
            <w:vMerge w:val="restart"/>
            <w:tcBorders>
              <w:top w:val="single" w:color="auto" w:sz="4" w:space="0"/>
              <w:left w:val="single" w:color="auto" w:sz="4" w:space="0"/>
              <w:right w:val="single" w:color="auto" w:sz="4" w:space="0"/>
            </w:tcBorders>
            <w:noWrap w:val="0"/>
            <w:vAlign w:val="center"/>
          </w:tcPr>
          <w:p>
            <w:pPr>
              <w:pStyle w:val="3"/>
              <w:spacing w:line="160" w:lineRule="atLeast"/>
              <w:ind w:left="92" w:leftChars="-20" w:right="-42" w:rightChars="-20" w:hanging="134" w:hangingChars="64"/>
              <w:textAlignment w:val="baseline"/>
              <w:rPr>
                <w:rFonts w:ascii="宋体" w:hAnsi="宋体" w:eastAsia="宋体"/>
                <w:color w:val="auto"/>
                <w:highlight w:val="none"/>
              </w:rPr>
            </w:pPr>
            <w:r>
              <w:rPr>
                <w:rFonts w:hint="eastAsia" w:ascii="宋体" w:hAnsi="宋体" w:eastAsia="宋体"/>
                <w:color w:val="auto"/>
                <w:highlight w:val="none"/>
                <w:lang w:val="en-US" w:eastAsia="zh-CN"/>
              </w:rPr>
              <w:t>30</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highlight w:val="none"/>
              </w:rPr>
            </w:pPr>
            <w:r>
              <w:rPr>
                <w:rFonts w:hint="eastAsia" w:ascii="宋体" w:hAnsi="宋体"/>
                <w:color w:val="auto"/>
                <w:szCs w:val="21"/>
                <w:highlight w:val="none"/>
              </w:rPr>
              <w:t>满足资格</w:t>
            </w:r>
            <w:r>
              <w:rPr>
                <w:rFonts w:ascii="宋体" w:hAnsi="宋体"/>
                <w:color w:val="auto"/>
                <w:szCs w:val="21"/>
                <w:highlight w:val="none"/>
              </w:rPr>
              <w:t>审查</w:t>
            </w:r>
            <w:r>
              <w:rPr>
                <w:rFonts w:hint="eastAsia" w:ascii="宋体" w:hAnsi="宋体"/>
                <w:color w:val="auto"/>
                <w:szCs w:val="21"/>
                <w:highlight w:val="none"/>
              </w:rPr>
              <w:t>附录4</w:t>
            </w:r>
            <w:r>
              <w:rPr>
                <w:rFonts w:ascii="宋体" w:hAnsi="宋体"/>
                <w:color w:val="auto"/>
                <w:szCs w:val="21"/>
                <w:highlight w:val="none"/>
              </w:rPr>
              <w:t>要求</w:t>
            </w:r>
            <w:r>
              <w:rPr>
                <w:rFonts w:hint="eastAsia" w:ascii="宋体" w:hAnsi="宋体"/>
                <w:color w:val="auto"/>
                <w:szCs w:val="21"/>
                <w:highlight w:val="none"/>
              </w:rPr>
              <w:t>，得</w:t>
            </w: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46" w:type="dxa"/>
            <w:vMerge w:val="continue"/>
            <w:tcBorders>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p>
        </w:tc>
        <w:tc>
          <w:tcPr>
            <w:tcW w:w="850" w:type="dxa"/>
            <w:vMerge w:val="continue"/>
            <w:tcBorders>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p>
        </w:tc>
        <w:tc>
          <w:tcPr>
            <w:tcW w:w="851" w:type="dxa"/>
            <w:vMerge w:val="continue"/>
            <w:tcBorders>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p>
        </w:tc>
        <w:tc>
          <w:tcPr>
            <w:tcW w:w="1276" w:type="dxa"/>
            <w:vMerge w:val="continue"/>
            <w:tcBorders>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p>
        </w:tc>
        <w:tc>
          <w:tcPr>
            <w:tcW w:w="607" w:type="dxa"/>
            <w:vMerge w:val="continue"/>
            <w:tcBorders>
              <w:left w:val="single" w:color="auto" w:sz="4" w:space="0"/>
              <w:bottom w:val="single" w:color="auto" w:sz="4" w:space="0"/>
              <w:right w:val="single" w:color="auto" w:sz="4" w:space="0"/>
            </w:tcBorders>
            <w:noWrap w:val="0"/>
            <w:vAlign w:val="center"/>
          </w:tcPr>
          <w:p>
            <w:pPr>
              <w:pStyle w:val="3"/>
              <w:spacing w:line="160" w:lineRule="atLeast"/>
              <w:ind w:left="92" w:leftChars="-20" w:right="-42" w:rightChars="-20" w:hanging="134" w:hangingChars="64"/>
              <w:textAlignment w:val="baseline"/>
              <w:rPr>
                <w:rFonts w:ascii="宋体" w:hAnsi="宋体" w:eastAsia="宋体"/>
                <w:color w:val="auto"/>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3"/>
              <w:rPr>
                <w:rFonts w:ascii="宋体" w:hAnsi="宋体" w:eastAsia="宋体"/>
                <w:color w:val="auto"/>
                <w:highlight w:val="none"/>
              </w:rPr>
            </w:pPr>
            <w:r>
              <w:rPr>
                <w:rFonts w:hint="eastAsia" w:hAnsi="宋体"/>
                <w:color w:val="auto"/>
                <w:highlight w:val="none"/>
              </w:rPr>
              <w:t>每增加1项满足资格审查条件要求的人员业绩加</w:t>
            </w:r>
            <w:r>
              <w:rPr>
                <w:rFonts w:hAnsi="宋体"/>
                <w:color w:val="auto"/>
                <w:highlight w:val="none"/>
              </w:rPr>
              <w:t>1</w:t>
            </w:r>
            <w:r>
              <w:rPr>
                <w:rFonts w:hint="eastAsia" w:hAnsi="宋体"/>
                <w:color w:val="auto"/>
                <w:highlight w:val="none"/>
                <w:lang w:val="en-US" w:eastAsia="zh-CN"/>
              </w:rPr>
              <w:t>2</w:t>
            </w:r>
            <w:r>
              <w:rPr>
                <w:rFonts w:hint="eastAsia" w:hAnsi="宋体"/>
                <w:color w:val="auto"/>
                <w:highlight w:val="none"/>
              </w:rPr>
              <w:t>分，最高加</w:t>
            </w:r>
            <w:r>
              <w:rPr>
                <w:rFonts w:hAnsi="宋体"/>
                <w:color w:val="auto"/>
                <w:highlight w:val="none"/>
              </w:rPr>
              <w:t>1</w:t>
            </w:r>
            <w:r>
              <w:rPr>
                <w:rFonts w:hint="eastAsia" w:hAnsi="宋体"/>
                <w:color w:val="auto"/>
                <w:highlight w:val="none"/>
                <w:lang w:val="en-US" w:eastAsia="zh-CN"/>
              </w:rPr>
              <w:t>2</w:t>
            </w:r>
            <w:r>
              <w:rPr>
                <w:rFonts w:hint="eastAsia"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46" w:type="dxa"/>
            <w:tcBorders>
              <w:top w:val="nil"/>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2.2.4（3）</w:t>
            </w:r>
          </w:p>
        </w:tc>
        <w:tc>
          <w:tcPr>
            <w:tcW w:w="850" w:type="dxa"/>
            <w:tcBorders>
              <w:top w:val="nil"/>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评标价</w:t>
            </w:r>
          </w:p>
        </w:tc>
        <w:tc>
          <w:tcPr>
            <w:tcW w:w="851" w:type="dxa"/>
            <w:tcBorders>
              <w:top w:val="nil"/>
              <w:left w:val="single" w:color="auto" w:sz="4" w:space="0"/>
              <w:bottom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10分</w:t>
            </w:r>
          </w:p>
        </w:tc>
        <w:tc>
          <w:tcPr>
            <w:tcW w:w="7074" w:type="dxa"/>
            <w:gridSpan w:val="4"/>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评标价得分计算公式示例：</w:t>
            </w:r>
          </w:p>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（1）如果投标人的评标价＞评标基准价，则评标价得分=F-（投标人评标价-评标基准价）/评标基准价×100×E1；</w:t>
            </w:r>
          </w:p>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（2）如果投标人的评标价≤评标基准价，则评标价得分=F+(投标人评标价-评标基准价)/评标基准价×100×E2。</w:t>
            </w:r>
          </w:p>
          <w:p>
            <w:pPr>
              <w:pStyle w:val="3"/>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其中，F=10；E1=0.</w:t>
            </w:r>
            <w:r>
              <w:rPr>
                <w:rFonts w:ascii="宋体" w:hAnsi="宋体" w:eastAsia="宋体"/>
                <w:color w:val="auto"/>
                <w:highlight w:val="none"/>
              </w:rPr>
              <w:t>2</w:t>
            </w:r>
            <w:r>
              <w:rPr>
                <w:rFonts w:hint="eastAsia" w:ascii="宋体" w:hAnsi="宋体" w:eastAsia="宋体"/>
                <w:color w:val="auto"/>
                <w:highlight w:val="none"/>
              </w:rPr>
              <w:t>；E2=0.</w:t>
            </w:r>
            <w:r>
              <w:rPr>
                <w:rFonts w:ascii="宋体" w:hAnsi="宋体" w:eastAsia="宋体"/>
                <w:color w:val="auto"/>
                <w:highlight w:val="none"/>
              </w:rPr>
              <w:t>1</w:t>
            </w:r>
            <w:r>
              <w:rPr>
                <w:rFonts w:hint="eastAsia" w:ascii="宋体" w:hAnsi="宋体" w:eastAsia="宋体"/>
                <w:color w:val="auto"/>
                <w:highlight w:val="none"/>
              </w:rPr>
              <w:t>；评标价最低得分为0分。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6" w:type="dxa"/>
            <w:vMerge w:val="restart"/>
            <w:tcBorders>
              <w:top w:val="single" w:color="auto" w:sz="4" w:space="0"/>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2.2.4（4）</w:t>
            </w:r>
          </w:p>
        </w:tc>
        <w:tc>
          <w:tcPr>
            <w:tcW w:w="850" w:type="dxa"/>
            <w:vMerge w:val="restart"/>
            <w:tcBorders>
              <w:top w:val="single" w:color="auto" w:sz="4" w:space="0"/>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其他因素</w:t>
            </w:r>
          </w:p>
        </w:tc>
        <w:tc>
          <w:tcPr>
            <w:tcW w:w="851" w:type="dxa"/>
            <w:vMerge w:val="restart"/>
            <w:tcBorders>
              <w:top w:val="single" w:color="auto" w:sz="4" w:space="0"/>
              <w:left w:val="single" w:color="auto" w:sz="4" w:space="0"/>
              <w:right w:val="single" w:color="auto" w:sz="4" w:space="0"/>
            </w:tcBorders>
            <w:noWrap w:val="0"/>
            <w:vAlign w:val="center"/>
          </w:tcPr>
          <w:p>
            <w:pPr>
              <w:pStyle w:val="3"/>
              <w:spacing w:line="160" w:lineRule="atLeast"/>
              <w:jc w:val="center"/>
              <w:textAlignment w:val="baseline"/>
              <w:rPr>
                <w:rFonts w:ascii="宋体" w:hAnsi="宋体" w:eastAsia="宋体"/>
                <w:color w:val="auto"/>
                <w:highlight w:val="none"/>
              </w:rPr>
            </w:pPr>
            <w:r>
              <w:rPr>
                <w:rFonts w:ascii="宋体" w:hAnsi="宋体" w:eastAsia="宋体"/>
                <w:color w:val="auto"/>
                <w:highlight w:val="none"/>
              </w:rPr>
              <w:t>25</w:t>
            </w:r>
            <w:r>
              <w:rPr>
                <w:rFonts w:hint="eastAsia" w:ascii="宋体" w:hAnsi="宋体" w:eastAsia="宋体"/>
                <w:color w:val="auto"/>
                <w:highlight w:val="none"/>
              </w:rPr>
              <w:t>分</w:t>
            </w:r>
          </w:p>
        </w:tc>
        <w:tc>
          <w:tcPr>
            <w:tcW w:w="1276" w:type="dxa"/>
            <w:vMerge w:val="restart"/>
            <w:tcBorders>
              <w:top w:val="single" w:color="auto" w:sz="4" w:space="0"/>
              <w:left w:val="single" w:color="auto" w:sz="4" w:space="0"/>
              <w:right w:val="single" w:color="auto" w:sz="4" w:space="0"/>
            </w:tcBorders>
            <w:noWrap w:val="0"/>
            <w:vAlign w:val="center"/>
          </w:tcPr>
          <w:p>
            <w:pPr>
              <w:pStyle w:val="3"/>
              <w:spacing w:line="160" w:lineRule="atLeast"/>
              <w:ind w:right="-81"/>
              <w:jc w:val="center"/>
              <w:textAlignment w:val="baseline"/>
              <w:rPr>
                <w:rFonts w:ascii="宋体" w:hAnsi="宋体" w:eastAsia="宋体"/>
                <w:color w:val="auto"/>
                <w:highlight w:val="none"/>
              </w:rPr>
            </w:pPr>
            <w:r>
              <w:rPr>
                <w:rFonts w:hint="eastAsia" w:ascii="宋体" w:hAnsi="宋体" w:eastAsia="宋体"/>
                <w:color w:val="auto"/>
                <w:highlight w:val="none"/>
              </w:rPr>
              <w:t>企业业绩</w:t>
            </w:r>
          </w:p>
        </w:tc>
        <w:tc>
          <w:tcPr>
            <w:tcW w:w="607" w:type="dxa"/>
            <w:tcBorders>
              <w:top w:val="single" w:color="auto" w:sz="4" w:space="0"/>
              <w:left w:val="single" w:color="auto" w:sz="4" w:space="0"/>
              <w:bottom w:val="single" w:color="auto" w:sz="4" w:space="0"/>
              <w:right w:val="single" w:color="auto" w:sz="4" w:space="0"/>
            </w:tcBorders>
            <w:noWrap w:val="0"/>
            <w:vAlign w:val="center"/>
          </w:tcPr>
          <w:p>
            <w:pPr>
              <w:pStyle w:val="3"/>
              <w:spacing w:line="160" w:lineRule="atLeast"/>
              <w:ind w:leftChars="-15" w:right="-71" w:rightChars="-34" w:hanging="31" w:hangingChars="15"/>
              <w:jc w:val="center"/>
              <w:textAlignment w:val="baseline"/>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5</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满足资格审查条件</w:t>
            </w:r>
            <w:r>
              <w:rPr>
                <w:rFonts w:hint="eastAsia" w:ascii="宋体" w:hAnsi="宋体"/>
                <w:color w:val="auto"/>
                <w:szCs w:val="21"/>
                <w:highlight w:val="none"/>
              </w:rPr>
              <w:t>附录2要求，</w:t>
            </w:r>
            <w:r>
              <w:rPr>
                <w:rFonts w:ascii="宋体" w:hAnsi="宋体"/>
                <w:color w:val="auto"/>
                <w:szCs w:val="21"/>
                <w:highlight w:val="none"/>
              </w:rPr>
              <w:t>得</w:t>
            </w: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46" w:type="dxa"/>
            <w:vMerge w:val="continue"/>
            <w:tcBorders>
              <w:left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left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left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left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tcBorders>
              <w:top w:val="single" w:color="auto" w:sz="4" w:space="0"/>
              <w:left w:val="single" w:color="auto" w:sz="4" w:space="0"/>
              <w:right w:val="single" w:color="auto" w:sz="4" w:space="0"/>
            </w:tcBorders>
            <w:noWrap w:val="0"/>
            <w:vAlign w:val="center"/>
          </w:tcPr>
          <w:p>
            <w:pPr>
              <w:pStyle w:val="3"/>
              <w:spacing w:line="160" w:lineRule="atLeast"/>
              <w:ind w:leftChars="-15" w:right="-71" w:rightChars="-34" w:hanging="31" w:hangingChars="15"/>
              <w:jc w:val="center"/>
              <w:textAlignment w:val="baseline"/>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0</w:t>
            </w:r>
            <w:r>
              <w:rPr>
                <w:rFonts w:hint="eastAsia" w:ascii="宋体" w:hAnsi="宋体" w:eastAsia="宋体"/>
                <w:color w:val="auto"/>
                <w:highlight w:val="none"/>
              </w:rPr>
              <w:t>分</w:t>
            </w:r>
          </w:p>
        </w:tc>
        <w:tc>
          <w:tcPr>
            <w:tcW w:w="5191" w:type="dxa"/>
            <w:gridSpan w:val="2"/>
            <w:tcBorders>
              <w:top w:val="single" w:color="auto" w:sz="4" w:space="0"/>
              <w:left w:val="single" w:color="auto" w:sz="4" w:space="0"/>
              <w:right w:val="single" w:color="auto" w:sz="4" w:space="0"/>
            </w:tcBorders>
            <w:noWrap w:val="0"/>
            <w:vAlign w:val="center"/>
          </w:tcPr>
          <w:p>
            <w:pPr>
              <w:jc w:val="lef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每增加</w:t>
            </w:r>
            <w:r>
              <w:rPr>
                <w:rFonts w:hint="eastAsia" w:ascii="宋体" w:hAnsi="宋体"/>
                <w:color w:val="auto"/>
                <w:szCs w:val="21"/>
                <w:highlight w:val="none"/>
              </w:rPr>
              <w:t>1项满足</w:t>
            </w:r>
            <w:r>
              <w:rPr>
                <w:rFonts w:ascii="宋体" w:hAnsi="宋体"/>
                <w:color w:val="auto"/>
                <w:szCs w:val="21"/>
                <w:highlight w:val="none"/>
              </w:rPr>
              <w:t>资格审查条件</w:t>
            </w:r>
            <w:r>
              <w:rPr>
                <w:rFonts w:hint="eastAsia" w:ascii="宋体" w:hAnsi="宋体"/>
                <w:color w:val="auto"/>
                <w:szCs w:val="21"/>
                <w:highlight w:val="none"/>
              </w:rPr>
              <w:t>要求</w:t>
            </w:r>
            <w:r>
              <w:rPr>
                <w:rFonts w:ascii="宋体" w:hAnsi="宋体"/>
                <w:color w:val="auto"/>
                <w:szCs w:val="21"/>
                <w:highlight w:val="none"/>
              </w:rPr>
              <w:t>的监理业绩加</w:t>
            </w:r>
            <w:r>
              <w:rPr>
                <w:rFonts w:hint="eastAsia" w:ascii="宋体" w:hAnsi="宋体"/>
                <w:color w:val="auto"/>
                <w:szCs w:val="21"/>
                <w:highlight w:val="none"/>
                <w:lang w:val="en-US" w:eastAsia="zh-CN"/>
              </w:rPr>
              <w:t>10</w:t>
            </w:r>
            <w:r>
              <w:rPr>
                <w:rFonts w:hint="eastAsia" w:ascii="宋体" w:hAnsi="宋体"/>
                <w:color w:val="auto"/>
                <w:szCs w:val="21"/>
                <w:highlight w:val="none"/>
              </w:rPr>
              <w:t>分，本项最多加1</w:t>
            </w:r>
            <w:r>
              <w:rPr>
                <w:rFonts w:ascii="宋体" w:hAnsi="宋体"/>
                <w:color w:val="auto"/>
                <w:szCs w:val="21"/>
                <w:highlight w:val="none"/>
              </w:rPr>
              <w:t>0</w:t>
            </w:r>
            <w:r>
              <w:rPr>
                <w:rFonts w:hint="eastAsia" w:ascii="宋体" w:hAnsi="宋体"/>
                <w:color w:val="auto"/>
                <w:szCs w:val="21"/>
                <w:highlight w:val="none"/>
              </w:rPr>
              <w:t>分</w:t>
            </w:r>
          </w:p>
        </w:tc>
      </w:tr>
    </w:tbl>
    <w:p>
      <w:pPr>
        <w:pStyle w:val="2"/>
        <w:keepNext w:val="0"/>
        <w:keepLines w:val="0"/>
        <w:pageBreakBefore w:val="0"/>
        <w:widowControl w:val="0"/>
        <w:tabs>
          <w:tab w:val="left" w:pos="5138"/>
        </w:tabs>
        <w:kinsoku/>
        <w:wordWrap/>
        <w:overflowPunct/>
        <w:topLinePunct w:val="0"/>
        <w:autoSpaceDE/>
        <w:autoSpaceDN/>
        <w:bidi w:val="0"/>
        <w:adjustRightInd/>
        <w:snapToGrid w:val="0"/>
        <w:spacing w:after="0" w:line="288" w:lineRule="auto"/>
        <w:jc w:val="left"/>
        <w:rPr>
          <w:rFonts w:ascii="宋体" w:hAnsi="宋体"/>
          <w:b/>
          <w:bCs/>
          <w:color w:val="auto"/>
          <w:sz w:val="21"/>
          <w:szCs w:val="21"/>
          <w:highlight w:val="none"/>
        </w:rPr>
      </w:pPr>
      <w:r>
        <w:rPr>
          <w:rFonts w:hint="eastAsia" w:ascii="宋体" w:hAnsi="宋体"/>
          <w:color w:val="auto"/>
          <w:sz w:val="21"/>
          <w:szCs w:val="21"/>
          <w:highlight w:val="none"/>
        </w:rPr>
        <w:t>注：</w:t>
      </w:r>
      <w:r>
        <w:rPr>
          <w:rFonts w:hint="eastAsia" w:ascii="宋体" w:hAnsi="宋体"/>
          <w:color w:val="auto"/>
          <w:sz w:val="21"/>
          <w:szCs w:val="21"/>
          <w:highlight w:val="none"/>
          <w:lang w:val="en-US" w:eastAsia="zh-CN"/>
        </w:rPr>
        <w:t>1、</w:t>
      </w:r>
      <w:r>
        <w:rPr>
          <w:rFonts w:hint="eastAsia" w:hAnsi="宋体"/>
          <w:color w:val="auto"/>
          <w:highlight w:val="none"/>
        </w:rPr>
        <w:t>技术建议书</w:t>
      </w:r>
      <w:r>
        <w:rPr>
          <w:rFonts w:hint="eastAsia" w:ascii="宋体" w:hAnsi="宋体"/>
          <w:color w:val="auto"/>
          <w:sz w:val="21"/>
          <w:szCs w:val="21"/>
          <w:highlight w:val="none"/>
        </w:rPr>
        <w:t>各</w:t>
      </w:r>
      <w:r>
        <w:rPr>
          <w:rFonts w:hint="eastAsia" w:hAnsi="宋体"/>
          <w:color w:val="auto"/>
          <w:sz w:val="21"/>
          <w:szCs w:val="21"/>
          <w:highlight w:val="none"/>
          <w:lang w:val="en-US" w:eastAsia="zh-CN"/>
        </w:rPr>
        <w:t>细分项</w:t>
      </w:r>
      <w:r>
        <w:rPr>
          <w:rFonts w:hint="eastAsia" w:ascii="宋体" w:hAnsi="宋体"/>
          <w:color w:val="auto"/>
          <w:sz w:val="21"/>
          <w:szCs w:val="21"/>
          <w:highlight w:val="none"/>
        </w:rPr>
        <w:t>缺项则该项得0分。</w:t>
      </w:r>
    </w:p>
    <w:p>
      <w:pPr>
        <w:pStyle w:val="3"/>
        <w:ind w:firstLine="420" w:firstLineChars="200"/>
        <w:textAlignment w:val="baseline"/>
        <w:rPr>
          <w:rFonts w:hint="eastAsia" w:hAnsi="宋体" w:eastAsia="宋体"/>
          <w:color w:val="auto"/>
          <w:highlight w:val="none"/>
          <w:lang w:val="en-US" w:eastAsia="zh-CN"/>
        </w:rPr>
      </w:pPr>
      <w:r>
        <w:rPr>
          <w:rFonts w:hint="eastAsia" w:hAnsi="宋体"/>
          <w:color w:val="auto"/>
          <w:sz w:val="21"/>
          <w:szCs w:val="21"/>
          <w:highlight w:val="none"/>
          <w:lang w:val="en-US" w:eastAsia="zh-CN"/>
        </w:rPr>
        <w:t>2</w:t>
      </w:r>
      <w:r>
        <w:rPr>
          <w:rFonts w:hint="eastAsia" w:hAnsi="宋体"/>
          <w:color w:val="auto"/>
          <w:sz w:val="21"/>
          <w:szCs w:val="21"/>
          <w:highlight w:val="none"/>
        </w:rPr>
        <w:t>、各评分因素</w:t>
      </w:r>
      <w:r>
        <w:rPr>
          <w:rFonts w:hint="eastAsia" w:hAnsi="宋体"/>
          <w:color w:val="auto"/>
          <w:sz w:val="21"/>
          <w:szCs w:val="21"/>
          <w:highlight w:val="none"/>
          <w:lang w:val="en-US" w:eastAsia="zh-CN"/>
        </w:rPr>
        <w:t>细分项</w:t>
      </w:r>
      <w:r>
        <w:rPr>
          <w:rFonts w:hint="eastAsia" w:hAnsi="宋体"/>
          <w:color w:val="auto"/>
          <w:sz w:val="21"/>
          <w:szCs w:val="21"/>
          <w:highlight w:val="none"/>
        </w:rPr>
        <w:t>评标委员会各成员</w:t>
      </w:r>
      <w:r>
        <w:rPr>
          <w:rFonts w:hint="eastAsia" w:hAnsi="宋体"/>
          <w:color w:val="auto"/>
          <w:sz w:val="21"/>
          <w:szCs w:val="21"/>
          <w:highlight w:val="none"/>
          <w:lang w:val="en-US" w:eastAsia="zh-CN"/>
        </w:rPr>
        <w:t>打分保留1位小数，</w:t>
      </w:r>
      <w:r>
        <w:rPr>
          <w:rFonts w:hint="eastAsia" w:hAnsi="宋体"/>
          <w:color w:val="auto"/>
          <w:sz w:val="21"/>
          <w:szCs w:val="21"/>
          <w:highlight w:val="none"/>
        </w:rPr>
        <w:t>汇总得分以打分平均值确定，保留小数点后两位</w:t>
      </w:r>
      <w:r>
        <w:rPr>
          <w:rFonts w:hint="eastAsia" w:hAnsi="宋体"/>
          <w:color w:val="auto"/>
          <w:sz w:val="21"/>
          <w:szCs w:val="21"/>
          <w:highlight w:val="none"/>
          <w:lang w:eastAsia="zh-CN"/>
        </w:rPr>
        <w:t>，</w:t>
      </w:r>
      <w:r>
        <w:rPr>
          <w:rFonts w:hint="eastAsia" w:hAnsi="宋体"/>
          <w:color w:val="auto"/>
          <w:sz w:val="21"/>
          <w:szCs w:val="21"/>
          <w:highlight w:val="none"/>
        </w:rPr>
        <w:t>小数点后</w:t>
      </w:r>
      <w:r>
        <w:rPr>
          <w:rFonts w:hint="eastAsia" w:hAnsi="宋体"/>
          <w:color w:val="auto"/>
          <w:sz w:val="21"/>
          <w:szCs w:val="21"/>
          <w:highlight w:val="none"/>
          <w:lang w:val="en-US" w:eastAsia="zh-CN"/>
        </w:rPr>
        <w:t>第3位四舍五入</w:t>
      </w:r>
      <w:r>
        <w:rPr>
          <w:rFonts w:hint="eastAsia" w:hAnsi="宋体"/>
          <w:color w:val="auto"/>
          <w:sz w:val="21"/>
          <w:szCs w:val="21"/>
          <w:highlight w:val="none"/>
        </w:rPr>
        <w:t>。</w:t>
      </w:r>
      <w:r>
        <w:rPr>
          <w:rFonts w:hint="eastAsia" w:hAnsi="宋体"/>
          <w:color w:val="auto"/>
          <w:highlight w:val="none"/>
          <w:lang w:val="en-US" w:eastAsia="zh-CN"/>
        </w:rPr>
        <w:t xml:space="preserve"> </w:t>
      </w:r>
    </w:p>
    <w:p>
      <w:pPr>
        <w:jc w:val="center"/>
        <w:rPr>
          <w:rFonts w:ascii="宋体" w:hAnsi="宋体"/>
          <w:color w:val="auto"/>
          <w:highlight w:val="none"/>
        </w:rPr>
      </w:pPr>
      <w:bookmarkStart w:id="2" w:name="_Toc356504160"/>
    </w:p>
    <w:p>
      <w:pPr>
        <w:jc w:val="center"/>
        <w:rPr>
          <w:rFonts w:ascii="宋体" w:hAnsi="宋体"/>
          <w:color w:val="auto"/>
          <w:highlight w:val="none"/>
        </w:rPr>
      </w:pPr>
    </w:p>
    <w:p>
      <w:pPr>
        <w:jc w:val="center"/>
        <w:rPr>
          <w:rFonts w:ascii="宋体" w:hAnsi="宋体"/>
          <w:color w:val="auto"/>
          <w:highlight w:val="none"/>
        </w:rPr>
      </w:pPr>
    </w:p>
    <w:bookmarkEnd w:id="0"/>
    <w:bookmarkEnd w:id="1"/>
    <w:bookmarkEnd w:id="2"/>
    <w:p>
      <w:pPr>
        <w:rPr>
          <w:rFonts w:ascii="宋体" w:hAnsi="宋体"/>
          <w:color w:val="auto"/>
          <w:highlight w:val="none"/>
        </w:rPr>
      </w:pPr>
    </w:p>
    <w:p/>
    <w:sectPr>
      <w:headerReference r:id="rId4" w:type="first"/>
      <w:footerReference r:id="rId6" w:type="first"/>
      <w:headerReference r:id="rId3" w:type="default"/>
      <w:footerReference r:id="rId5" w:type="default"/>
      <w:pgSz w:w="11907" w:h="16840"/>
      <w:pgMar w:top="1418" w:right="1361" w:bottom="1418" w:left="1418" w:header="851"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rPr>
      <w:t xml:space="preserve">第 </w:t>
    </w:r>
    <w:r>
      <w:rPr>
        <w:kern w:val="0"/>
      </w:rPr>
      <w:fldChar w:fldCharType="begin"/>
    </w:r>
    <w:r>
      <w:rPr>
        <w:kern w:val="0"/>
      </w:rPr>
      <w:instrText xml:space="preserve"> PAGE </w:instrText>
    </w:r>
    <w:r>
      <w:rPr>
        <w:kern w:val="0"/>
      </w:rPr>
      <w:fldChar w:fldCharType="separate"/>
    </w:r>
    <w:r>
      <w:rPr>
        <w:kern w:val="0"/>
      </w:rPr>
      <w:t>93</w:t>
    </w:r>
    <w:r>
      <w:rPr>
        <w:kern w:val="0"/>
      </w:rPr>
      <w:fldChar w:fldCharType="end"/>
    </w:r>
    <w:r>
      <w:rPr>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A68FB"/>
    <w:multiLevelType w:val="singleLevel"/>
    <w:tmpl w:val="303A68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7A66324C"/>
    <w:rsid w:val="6FA6433B"/>
    <w:rsid w:val="7A66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qFormat/>
    <w:uiPriority w:val="0"/>
    <w:rPr>
      <w:rFonts w:ascii="宋体"/>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olor w:val="0000FF"/>
      <w:kern w:val="0"/>
      <w:sz w:val="24"/>
    </w:rPr>
  </w:style>
  <w:style w:type="character" w:customStyle="1" w:styleId="9">
    <w:name w:val="正文文本 (2) + 10.5 pt"/>
    <w:autoRedefine/>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2025-08-04T02:12:00Z</dcterms:created>
  <dc:creator>赵凌云</dc:creator>
  <cp:lastModifiedBy>赵凌云</cp:lastModifiedBy>
  <dcterms:modified xsi:type="dcterms:W3CDTF">2025-08-04T02:13:27Z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13B3B6D4F0784AF99835B9019AF9FF8D_13</vt:lpwstr>
  </property>
</Properties>
</file>